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C35" w:rsidP="00DF6C35">
      <w:pPr>
        <w:pStyle w:val="Title"/>
      </w:pPr>
      <w:r>
        <w:fldChar w:fldCharType="begin"/>
      </w:r>
      <w:r>
        <w:instrText xml:space="preserve"> TITLE   \* MERGEFORMAT </w:instrText>
      </w:r>
      <w:r>
        <w:fldChar w:fldCharType="separate"/>
      </w:r>
      <w:r>
        <w:t>UETTDRTS35 Maintain complex network protection and control systems</w:t>
      </w:r>
      <w:r>
        <w:fldChar w:fldCharType="end"/>
      </w:r>
    </w:p>
    <w:p w:rsidR="00DF6C35" w:rsidP="00DF6C35">
      <w:pPr>
        <w:pStyle w:val="Version"/>
        <w:sectPr w:rsidSect="00EC42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287" w:rsidP="00EC4287">
      <w:pPr>
        <w:pStyle w:val="SuperHeading"/>
      </w:pPr>
      <w:r w:rsidRPr="00EC4287">
        <w:t>UETTDRTS35 Maintain complex network protection and control systems</w:t>
      </w:r>
    </w:p>
    <w:p w:rsidR="00000000" w:rsidRPr="00EC4287" w:rsidP="00EC4287">
      <w:pPr>
        <w:pStyle w:val="Heading1"/>
      </w:pPr>
      <w:bookmarkStart w:id="1" w:name="O_1005708"/>
      <w:bookmarkEnd w:id="1"/>
      <w:r w:rsidRPr="00EC4287">
        <w:t>Modification History</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Release 1. This is the first release of this unit of competency in the UET Transmission, Distribution and Rail Sector Training Package.</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2" w:name="O_1005709"/>
      <w:bookmarkEnd w:id="2"/>
      <w:r w:rsidRPr="00EC4287">
        <w:t>Application</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This unit covers the maintenance of network protection and control systems in complex situations and includes isolation, inspection, monitoring, testing, adjustment and repair, refurbishment and/or overhaul and functional checks. It in</w:t>
            </w:r>
            <w:r w:rsidRPr="00EC4287">
              <w:t xml:space="preserve">cludes schemes from discrete and interdependent and also schemes, such as distance, differential, transformer differential, bus zone, bus overcurrent, revenue metering, supervisory control and data acquisition (SCADA), communications, harmonic control and </w:t>
            </w:r>
            <w:r w:rsidRPr="00EC4287">
              <w:t>point on wave.</w:t>
            </w:r>
          </w:p>
          <w:p w:rsidR="00000000" w:rsidRPr="00EC4287" w:rsidP="00EC4287">
            <w:pPr>
              <w:pStyle w:val="BodyText"/>
            </w:pPr>
            <w:r w:rsidRPr="00EC4287">
              <w:t xml:space="preserve">The application of the skills and knowledge described in this unit may require a licence/registration to practice in the workplace subject to regulations for undertaking of electrical work.  </w:t>
            </w:r>
          </w:p>
          <w:p w:rsidR="00000000" w:rsidRPr="00EC4287" w:rsidP="00EC4287">
            <w:pPr>
              <w:pStyle w:val="BodyText"/>
            </w:pPr>
            <w:r w:rsidRPr="00EC4287">
              <w:t>Other conditions may apply under state and territ</w:t>
            </w:r>
            <w:r w:rsidRPr="00EC4287">
              <w:t>ory legislative and regulatory licencing requirements which must be confirmed prior to commencing this unit.</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3" w:name="O_1005710"/>
      <w:bookmarkEnd w:id="3"/>
      <w:r w:rsidRPr="00EC4287">
        <w:t>Pre-requisite Unit</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Common Unit Group</w:t>
            </w:r>
          </w:p>
          <w:p w:rsidR="00000000" w:rsidRPr="00EC4287" w:rsidP="00EC4287">
            <w:pPr>
              <w:pStyle w:val="BodyText"/>
            </w:pPr>
            <w:r w:rsidRPr="00EC4287">
              <w:t>UEENEED104A Use engineering applications software on personal computers</w:t>
            </w:r>
          </w:p>
          <w:p w:rsidR="00000000" w:rsidRPr="00EC4287" w:rsidP="00EC4287">
            <w:pPr>
              <w:pStyle w:val="BodyText"/>
            </w:pPr>
            <w:r w:rsidRPr="00EC4287">
              <w:t>UEENEEE101A Apply</w:t>
            </w:r>
            <w:r w:rsidRPr="00EC4287">
              <w:t xml:space="preserve"> Occupational Health and Safety regulations, codes and practices in the workplace</w:t>
            </w:r>
          </w:p>
          <w:p w:rsidR="00000000" w:rsidRPr="00EC4287" w:rsidP="00EC4287">
            <w:pPr>
              <w:pStyle w:val="BodyText"/>
            </w:pPr>
            <w:r w:rsidRPr="00EC4287">
              <w:t>UEENEEE102A Fabricate, assemble and dismantle utilities industry components</w:t>
            </w:r>
          </w:p>
          <w:p w:rsidR="00000000" w:rsidRPr="00EC4287" w:rsidP="00EC4287">
            <w:pPr>
              <w:pStyle w:val="BodyText"/>
            </w:pPr>
            <w:r w:rsidRPr="00EC4287">
              <w:t>UEENEEE104A Solve problems in d.c. circuits</w:t>
            </w:r>
          </w:p>
          <w:p w:rsidR="00000000" w:rsidRPr="00EC4287" w:rsidP="00EC4287">
            <w:pPr>
              <w:pStyle w:val="BodyText"/>
            </w:pPr>
            <w:r w:rsidRPr="00EC4287">
              <w:t>UEENEEE107A Use drawings, diagrams, schedules, standar</w:t>
            </w:r>
            <w:r w:rsidRPr="00EC4287">
              <w:t>ds, codes and specifications</w:t>
            </w:r>
          </w:p>
          <w:p w:rsidR="00000000" w:rsidRPr="00EC4287" w:rsidP="00EC4287">
            <w:pPr>
              <w:pStyle w:val="BodyText"/>
            </w:pPr>
            <w:r w:rsidRPr="00EC4287">
              <w:t>UEENEEE124A Compile and produce an energy sector detailed report</w:t>
            </w:r>
          </w:p>
          <w:p w:rsidR="00000000" w:rsidRPr="00EC4287" w:rsidP="00EC4287">
            <w:pPr>
              <w:pStyle w:val="BodyText"/>
            </w:pPr>
            <w:r w:rsidRPr="00EC4287">
              <w:t>UEENEEE125A Provide engineering solutions for problems in complex multiple path circuits</w:t>
            </w:r>
          </w:p>
          <w:p w:rsidR="00000000" w:rsidRPr="00EC4287" w:rsidP="00EC4287">
            <w:pPr>
              <w:pStyle w:val="BodyText"/>
            </w:pPr>
            <w:r w:rsidRPr="00EC4287">
              <w:t>UEENEEE126A Provide solutions to basic engineering computational problems</w:t>
            </w:r>
          </w:p>
          <w:p w:rsidR="00000000" w:rsidRPr="00EC4287" w:rsidP="00EC4287">
            <w:pPr>
              <w:pStyle w:val="BodyText"/>
            </w:pPr>
            <w:r w:rsidRPr="00EC4287">
              <w:t>UEENEEG101A Solve problems in electromagnetic devices and related circuits</w:t>
            </w:r>
          </w:p>
          <w:p w:rsidR="00000000" w:rsidRPr="00EC4287" w:rsidP="00EC4287">
            <w:pPr>
              <w:pStyle w:val="BodyText"/>
            </w:pPr>
            <w:r w:rsidRPr="00EC4287">
              <w:t>UEENEEG102A Solve problems in low voltage a.c. circuits</w:t>
            </w:r>
          </w:p>
          <w:p w:rsidR="00000000" w:rsidRPr="00EC4287" w:rsidP="00EC4287">
            <w:pPr>
              <w:pStyle w:val="BodyText"/>
            </w:pPr>
            <w:r w:rsidRPr="00EC4287">
              <w:t>UEENEEG149A Provide engineering solutions to problems in complex polyphase power circuits</w:t>
            </w:r>
          </w:p>
          <w:p w:rsidR="00000000" w:rsidRPr="00EC4287" w:rsidP="00EC4287">
            <w:pPr>
              <w:pStyle w:val="BodyText"/>
            </w:pPr>
            <w:r w:rsidRPr="00EC4287">
              <w:t>UETTDREL11 Apply sustainable energ</w:t>
            </w:r>
            <w:r w:rsidRPr="00EC4287">
              <w:t>y and environmental procedures</w:t>
            </w:r>
          </w:p>
          <w:p w:rsidR="00000000" w:rsidRPr="00EC4287" w:rsidP="00EC4287">
            <w:pPr>
              <w:pStyle w:val="BodyText"/>
            </w:pPr>
            <w:r w:rsidRPr="00EC4287">
              <w:t>UETTDREL16 Working safely near live electrical apparatus</w:t>
            </w:r>
          </w:p>
          <w:p w:rsidR="00000000" w:rsidRPr="00EC4287" w:rsidP="00EC4287">
            <w:pPr>
              <w:pStyle w:val="BodyText"/>
            </w:pPr>
            <w:r w:rsidRPr="00EC4287">
              <w:t>UETTDRIS62 Implement and monitor the power system organisational WHS/OHS policies, procedures and programs</w:t>
            </w:r>
          </w:p>
          <w:p w:rsidR="00000000" w:rsidRPr="00EC4287" w:rsidP="00EC4287">
            <w:pPr>
              <w:pStyle w:val="BodyText"/>
            </w:pPr>
            <w:r w:rsidRPr="00EC4287">
              <w:t>UETTDRIS63 Implement &amp; monitor power system environmental &amp; s</w:t>
            </w:r>
            <w:r w:rsidRPr="00EC4287">
              <w:t>ustainable energy management policies &amp; procedures</w:t>
            </w:r>
          </w:p>
          <w:p w:rsidR="00000000" w:rsidRPr="00EC4287" w:rsidP="00EC4287">
            <w:pPr>
              <w:pStyle w:val="BodyText"/>
            </w:pPr>
            <w:r w:rsidRPr="00EC4287">
              <w:t>UETTDRTS21 Maintain interdependent network protection and control systems</w:t>
            </w:r>
          </w:p>
          <w:p w:rsidR="00000000" w:rsidRPr="00EC4287" w:rsidP="00EC4287">
            <w:pPr>
              <w:pStyle w:val="BodyText"/>
            </w:pPr>
            <w:r w:rsidRPr="00EC4287">
              <w:t>UETTDRTS29 Develop power systems secondary isolation instructional documents</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4" w:name="O_1005711"/>
      <w:bookmarkEnd w:id="4"/>
      <w:r w:rsidRPr="00EC4287">
        <w:t>Competency Field</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Testing</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5" w:name="O_1005712"/>
      <w:bookmarkEnd w:id="5"/>
      <w:r w:rsidRPr="00EC4287">
        <w:t>Unit Sector</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Not applicable.</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6" w:name="O_1005713"/>
      <w:bookmarkEnd w:id="6"/>
      <w:r w:rsidRPr="00EC428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C42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PERFORMANCE CRITERIA</w:t>
            </w:r>
          </w:p>
        </w:tc>
      </w:tr>
      <w:tr w:rsidTr="00EC428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Performance criteria describe the performance needed to demonstrate achievement of the element.</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rPr>
                <w:rStyle w:val="SpecialBold"/>
              </w:rPr>
              <w:t>Plan for the maintenance of network protection and control systems (complex)</w:t>
            </w: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Work health and safety (WHS)/occupational health and safety (OHS) practice</w:t>
            </w:r>
            <w:r w:rsidRPr="00EC4287">
              <w:t>s/procedures and environmental and sustainable energy procedures, which may influence the maintenance of network protection and control systems (complex), are reviewed and determined</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Purpose of the maintenance of network protection and control systems (complex) is established after data is analysed and expected outcomes of the work are confirmed with appropriate personnel</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Organisational established procedures on policies and spe</w:t>
            </w:r>
            <w:r w:rsidRPr="00EC4287">
              <w:t>cifications for the maintenance of network protection and control systems (complex) are obtained or established with appropriate personnel</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Testing procedures are discussed with and/or directed to appropriate personnel in order to ascertain the proje</w:t>
            </w:r>
            <w:r w:rsidRPr="00EC4287">
              <w:t>ct brief</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 xml:space="preserve">Testing parameters are ascertained from organisational </w:t>
            </w:r>
            <w:r w:rsidRPr="00EC4287">
              <w:t>established procedures, policies and specifications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Equipment/tools and personal protective equipment (PPE) are selected based on specified performance criteria and established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Work roles and tasks are allocated according to requirements and individual competencies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Work is prioritis</w:t>
            </w:r>
            <w:r w:rsidRPr="00EC4287">
              <w:t>ed and sequenced for the most efficient/effective outcome, completed within an acceptable timeframe, to a quality standard and in accordance with established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 xml:space="preserve">Liaison and communication issues with others/authorised personnel, authorities, </w:t>
            </w:r>
            <w:r w:rsidRPr="00EC4287">
              <w:t>clients and land owners are resolved and activities coordinated to carry out work</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Risk control measures are identified, prioritised and evaluated against the work schedule</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Relevant work permits are secured to coordinate the performance of work according to requirements and/or established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rPr>
                <w:rStyle w:val="SpecialBold"/>
              </w:rPr>
              <w:t>Carry out the maintenance of network protection and control systems (complex)</w:t>
            </w: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Circuit/systems modelling is used to evaluate alternative proposals in accordance with established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WHS/OHS and sustainable energy principles, functionality and practices to reduce the incidents of accidents and minimise waste are incorpor</w:t>
            </w:r>
            <w:r w:rsidRPr="00EC4287">
              <w:t>ated into the project in accordance with requirements and/or established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Maintenance of network protection and control systems (complex) decisions are made on the basis of safety and effective outcomes according to requirements and/or est</w:t>
            </w:r>
            <w:r w:rsidRPr="00EC4287">
              <w: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Mathematical and/or engineering models of the scheme are used to analyse the effectiveness of the finished project in accordance with requirements and established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Technical advice is given regarding potential hazards, safety risks and control measures so that monitoring and preventative action can be undertaken and/or appropriate authorities consulted, where necessary, in accordance with requirements and established</w:t>
            </w:r>
            <w:r w:rsidRPr="00EC4287">
              <w:t xml:space="preserve">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Essential knowledge and associated skills are applied to analyse specific data and compare it with compliance specifications to ensure completion of the project within an agreed timeframe according to requirements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Testing of netwo</w:t>
            </w:r>
            <w:r w:rsidRPr="00EC4287">
              <w:t>rk protection and control systems (complex) is undertaken according to requirements and established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Work teams/groups are arranged/coordinated/evaluated to ensure planned goals are met according to established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Solutions to non-routine problems are identified and actioned, using acquired essential knowledge and associated skills, according to requirements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Quality of work is monitored against personal performance agreement and/or established organisational</w:t>
            </w:r>
            <w:r w:rsidRPr="00EC4287">
              <w:t xml:space="preserve"> and professional standards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Strategic plans are developed incorporating organisation initiatives in accordance with established procedures</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rPr>
                <w:rStyle w:val="SpecialBold"/>
              </w:rPr>
              <w:t>Complete the maintenance of network protection and control systems (complex)</w:t>
            </w: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 xml:space="preserve">Final inspections of the </w:t>
            </w:r>
            <w:r w:rsidRPr="00EC4287">
              <w:t>network protection and control systems (complex) are undertaken to ensure they comply with all requirements and include all specifications and documentation needed to complete the project</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Appropriate personnel are notified of completion and reports and/or completion documents are finalised/commissioned</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Reports and/or completion documents are submitted to relevant personnel/organisations for approval and, where applicable, statutory o</w:t>
            </w:r>
            <w:r w:rsidRPr="00EC4287">
              <w:t>r regulatory approval</w:t>
            </w:r>
          </w:p>
        </w:tc>
      </w:tr>
      <w:tr w:rsidTr="00EC428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C428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Approved copies of the maintenance of network protection and control systems (complex) documents are issued and records are updated in accordance with established procedures</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7" w:name="O_1005714"/>
      <w:bookmarkEnd w:id="7"/>
      <w:r w:rsidRPr="00EC4287">
        <w:t>Foundation Skills</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Foundation ski</w:t>
            </w:r>
            <w:r w:rsidRPr="00EC4287">
              <w:t>lls essential to performance are explicit in the performance criteria of this unit of competency.</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8" w:name="O_1005715"/>
      <w:bookmarkEnd w:id="8"/>
      <w:r w:rsidRPr="00EC4287">
        <w:t>Range of Conditions</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Range is restricted to essential operating conditions and any other variables essential to the work environment.</w:t>
            </w:r>
          </w:p>
          <w:p w:rsidR="00000000" w:rsidRPr="00EC4287" w:rsidP="00EC4287">
            <w:pPr>
              <w:pStyle w:val="BodyText"/>
            </w:pPr>
            <w:r w:rsidRPr="00EC4287">
              <w:t>Non-essential conditions may be found in the Companion Volume Implementation Guide.</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9" w:name="O_1005716"/>
      <w:bookmarkEnd w:id="9"/>
      <w:r w:rsidRPr="00EC4287">
        <w:t>Unit Mapping Information</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This unit replaces and is equivalent to UETTDRTS35A Maintain complex network protection and control systems.</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10" w:name="O_1005723"/>
      <w:bookmarkEnd w:id="10"/>
      <w:r w:rsidRPr="00EC4287">
        <w:t>Links</w:t>
      </w:r>
    </w:p>
    <w:p w:rsidR="00000000" w:rsidRPr="00EC4287" w:rsidP="00DF6C35">
      <w:pPr>
        <w:pStyle w:val="BodyText"/>
      </w:pPr>
      <w:r w:rsidRPr="00EC428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25653">
        <w:rPr>
          <w:rStyle w:val="Hyperlink"/>
        </w:rPr>
        <w:t>https://vetnet.gov.au/Pages/TrainingDocs.aspx?q=229bace1-b7bc-4653-9300-dffb13ecfad7</w:t>
      </w:r>
      <w:r>
        <w:fldChar w:fldCharType="end"/>
      </w:r>
    </w:p>
    <w:p w:rsidR="00000000" w:rsidRPr="00EC4287" w:rsidP="00DF6C35">
      <w:pPr>
        <w:pStyle w:val="BodyText"/>
        <w:sectPr w:rsidSect="00EC4287">
          <w:headerReference w:type="default" r:id="rId10"/>
          <w:footerReference w:type="default" r:id="rId11"/>
          <w:pgSz w:w="11908" w:h="16833"/>
          <w:pgMar w:top="1702" w:right="1418" w:bottom="1702" w:left="1418" w:header="992" w:footer="992" w:gutter="0"/>
          <w:cols w:space="720"/>
          <w:noEndnote/>
          <w:docGrid w:linePitch="299"/>
        </w:sectPr>
      </w:pPr>
    </w:p>
    <w:p w:rsidR="00000000" w:rsidRPr="00EC4287" w:rsidP="00EC4287">
      <w:pPr>
        <w:pStyle w:val="SuperHeading"/>
      </w:pPr>
      <w:r w:rsidRPr="00EC4287">
        <w:t>Assessment Requirements for UETTDR</w:t>
      </w:r>
      <w:r w:rsidRPr="00EC4287">
        <w:t>TS35 Maintain complex network protection and control systems</w:t>
      </w:r>
    </w:p>
    <w:p w:rsidR="00000000" w:rsidRPr="00EC4287" w:rsidP="00EC4287">
      <w:pPr>
        <w:pStyle w:val="Heading1"/>
      </w:pPr>
      <w:bookmarkStart w:id="11" w:name="O_1005718"/>
      <w:bookmarkEnd w:id="11"/>
      <w:r w:rsidRPr="00EC4287">
        <w:t>Modification History</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Release 1. This is the first release of this unit of competency in the UET Transmission, Distribution and Rail Sector Training Package.</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12" w:name="O_1005719"/>
      <w:bookmarkEnd w:id="12"/>
      <w:r w:rsidRPr="00EC4287">
        <w:t>Performance Evidence</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 xml:space="preserve">Evidence required to demonstrate competence in this unit must be relevant to and satisfy all of the requirements of the elements and performance criteria on at least two separate occasions and include:  </w:t>
            </w:r>
          </w:p>
        </w:tc>
      </w:tr>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ListBullet"/>
            </w:pPr>
            <w:r w:rsidRPr="00EC4287">
              <w:t>applying relevant wo</w:t>
            </w:r>
            <w:r w:rsidRPr="00EC4287">
              <w:t>rk health and safety (WHS)/occupational health and safety (OHS) requirements, including the use of risk control measures</w:t>
            </w:r>
          </w:p>
          <w:p w:rsidR="00000000" w:rsidRPr="00EC4287" w:rsidP="00EC4287">
            <w:pPr>
              <w:pStyle w:val="ListBullet"/>
            </w:pPr>
            <w:r w:rsidRPr="00EC4287">
              <w:t>applying sustainable energy principles and practices</w:t>
            </w:r>
          </w:p>
          <w:p w:rsidR="00000000" w:rsidRPr="00EC4287" w:rsidP="00EC4287">
            <w:pPr>
              <w:pStyle w:val="ListBullet"/>
            </w:pPr>
            <w:r w:rsidRPr="00EC4287">
              <w:t xml:space="preserve">completing all of the following </w:t>
            </w:r>
          </w:p>
          <w:p w:rsidR="00000000" w:rsidRPr="00EC4287" w:rsidP="00EC4287">
            <w:pPr>
              <w:pStyle w:val="ListBullet2"/>
            </w:pPr>
            <w:r w:rsidRPr="00EC4287">
              <w:t>isolating protection, control and alarms associa</w:t>
            </w:r>
            <w:r w:rsidRPr="00EC4287">
              <w:t>ted with complex protection and control schemes</w:t>
            </w:r>
          </w:p>
          <w:p w:rsidR="00000000" w:rsidRPr="00EC4287" w:rsidP="00EC4287">
            <w:pPr>
              <w:pStyle w:val="ListBullet2"/>
            </w:pPr>
            <w:r w:rsidRPr="00EC4287">
              <w:t>calibrating complex protection and control relays</w:t>
            </w:r>
          </w:p>
          <w:p w:rsidR="00000000" w:rsidRPr="00EC4287" w:rsidP="00EC4287">
            <w:pPr>
              <w:pStyle w:val="ListBullet2"/>
            </w:pPr>
            <w:r w:rsidRPr="00EC4287">
              <w:t>carrying out function tests (trips and alarms) on complex protection and control schemes</w:t>
            </w:r>
          </w:p>
          <w:p w:rsidR="00000000" w:rsidRPr="00EC4287" w:rsidP="00EC4287">
            <w:pPr>
              <w:pStyle w:val="ListBullet2"/>
            </w:pPr>
            <w:r w:rsidRPr="00EC4287">
              <w:t>writing reports on performance of complex protection and control schemes</w:t>
            </w:r>
          </w:p>
          <w:p w:rsidR="00000000" w:rsidRPr="00EC4287" w:rsidP="00EC4287">
            <w:pPr>
              <w:pStyle w:val="ListBullet2"/>
            </w:pPr>
            <w:r w:rsidRPr="00EC4287">
              <w:t>isolating ‘in service’ current transformers</w:t>
            </w:r>
          </w:p>
          <w:p w:rsidR="00000000" w:rsidRPr="00EC4287" w:rsidP="00EC4287">
            <w:pPr>
              <w:pStyle w:val="ListBullet"/>
            </w:pPr>
            <w:r w:rsidRPr="00EC4287">
              <w:t>completing all of the following:</w:t>
            </w:r>
          </w:p>
          <w:p w:rsidR="00000000" w:rsidRPr="00EC4287" w:rsidP="00EC4287">
            <w:pPr>
              <w:pStyle w:val="ListBullet2"/>
            </w:pPr>
            <w:r w:rsidRPr="00EC4287">
              <w:t>activities that address the correction of errors in network protection and control systems</w:t>
            </w:r>
          </w:p>
          <w:p w:rsidR="00000000" w:rsidRPr="00EC4287" w:rsidP="00EC4287">
            <w:pPr>
              <w:pStyle w:val="ListBullet"/>
            </w:pPr>
            <w:r w:rsidRPr="00EC4287">
              <w:t>dealing with</w:t>
            </w:r>
            <w:r w:rsidRPr="00EC4287">
              <w:t xml:space="preserve"> unplanned events on at least one (1) occasion.</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13" w:name="O_1005720"/>
      <w:bookmarkEnd w:id="13"/>
      <w:r w:rsidRPr="00EC4287">
        <w:t>Knowledge Evidence</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4287">
            <w:pPr>
              <w:pStyle w:val="BodyText"/>
              <w:rPr>
                <w:lang w:val="en-NZ"/>
              </w:rPr>
            </w:pPr>
            <w:r w:rsidRPr="00EC4287">
              <w:t xml:space="preserve">Evidence required to demonstrate competence in this unit must be relevant to and satisfy all of the requirements of the elements and performance criteria and </w:t>
            </w:r>
            <w:r w:rsidRPr="00EC4287">
              <w:t>include knowledge of:</w:t>
            </w:r>
          </w:p>
        </w:tc>
      </w:tr>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ListBullet"/>
            </w:pPr>
            <w:r w:rsidRPr="00EC4287">
              <w:t>principles of power transformer construction and operations encompassing:</w:t>
            </w:r>
          </w:p>
          <w:p w:rsidR="00000000" w:rsidRPr="00EC4287" w:rsidP="00EC4287">
            <w:pPr>
              <w:pStyle w:val="ListBullet2"/>
            </w:pPr>
            <w:r w:rsidRPr="00EC4287">
              <w:t>applications of static reactive plant in high voltage (HV) networks, including voltage control, volt-ampere reactive (VAR) control and transient response cap</w:t>
            </w:r>
            <w:r w:rsidRPr="00EC4287">
              <w:t>acity</w:t>
            </w:r>
          </w:p>
          <w:p w:rsidR="00000000" w:rsidRPr="00EC4287" w:rsidP="00EC4287">
            <w:pPr>
              <w:pStyle w:val="ListBullet2"/>
            </w:pPr>
            <w:r w:rsidRPr="00EC4287">
              <w:t>types of static reactive plant, including HV capacitors, HV reactors, static VAR compensators and combinations of these</w:t>
            </w:r>
          </w:p>
          <w:p w:rsidR="00000000" w:rsidRPr="00EC4287" w:rsidP="00EC4287">
            <w:pPr>
              <w:pStyle w:val="ListBullet2"/>
            </w:pPr>
            <w:r w:rsidRPr="00EC4287">
              <w:t>operating characteristics and operational constraints, including point on wave switching issues</w:t>
            </w:r>
          </w:p>
          <w:p w:rsidR="00000000" w:rsidRPr="00EC4287" w:rsidP="00EC4287">
            <w:pPr>
              <w:pStyle w:val="ListBullet2"/>
            </w:pPr>
            <w:r w:rsidRPr="00EC4287">
              <w:t>ratings, cooling systems and control systems and ancillary equipment used</w:t>
            </w:r>
          </w:p>
          <w:p w:rsidR="00000000" w:rsidRPr="00EC4287" w:rsidP="00EC4287">
            <w:pPr>
              <w:pStyle w:val="ListBullet2"/>
            </w:pPr>
            <w:r w:rsidRPr="00EC4287">
              <w:t>configurations and system layout, including single star, double star and bridge type</w:t>
            </w:r>
          </w:p>
          <w:p w:rsidR="00000000" w:rsidRPr="00EC4287" w:rsidP="00EC4287">
            <w:pPr>
              <w:pStyle w:val="ListBullet2"/>
            </w:pPr>
            <w:r w:rsidRPr="00EC4287">
              <w:t>typical protection systems used, including neutral unbalance current and neutral unbalance voltag</w:t>
            </w:r>
            <w:r w:rsidRPr="00EC4287">
              <w:t>e</w:t>
            </w:r>
          </w:p>
          <w:p w:rsidR="00000000" w:rsidRPr="00EC4287" w:rsidP="00EC4287">
            <w:pPr>
              <w:pStyle w:val="ListBullet2"/>
            </w:pPr>
            <w:r w:rsidRPr="00EC4287">
              <w:t>techniques used when balancing elements within static reactive plant</w:t>
            </w:r>
          </w:p>
          <w:p w:rsidR="00000000" w:rsidRPr="00EC4287" w:rsidP="00EC4287">
            <w:pPr>
              <w:pStyle w:val="ListBullet2"/>
            </w:pPr>
            <w:r w:rsidRPr="00EC4287">
              <w:t>safety precautions when testing and maintaining HV static reactive plant - safe working practices and procedures; identification of hazards; assessment and control of WHS/OHS risks; typ</w:t>
            </w:r>
            <w:r w:rsidRPr="00EC4287">
              <w:t>es, selection, maintenance and use of personal protective equipment (PPE)</w:t>
            </w:r>
          </w:p>
          <w:p w:rsidR="00000000" w:rsidRPr="00EC4287" w:rsidP="00EC4287">
            <w:pPr>
              <w:pStyle w:val="ListBullet"/>
            </w:pPr>
            <w:r w:rsidRPr="00EC4287">
              <w:t>detailed operation of complex protection systems encompassing:</w:t>
            </w:r>
          </w:p>
          <w:p w:rsidR="00000000" w:rsidRPr="00EC4287" w:rsidP="00EC4287">
            <w:pPr>
              <w:pStyle w:val="ListBullet2"/>
            </w:pPr>
            <w:r w:rsidRPr="00EC4287">
              <w:t>distance - characteristics, electromechanical, electronic, impedance, mho, offset mho, switched schemes, non-switched</w:t>
            </w:r>
            <w:r w:rsidRPr="00EC4287">
              <w:t xml:space="preserve"> schemes, blocking schemes and bus zone</w:t>
            </w:r>
          </w:p>
          <w:p w:rsidR="00000000" w:rsidRPr="00EC4287" w:rsidP="00EC4287">
            <w:pPr>
              <w:pStyle w:val="ListBullet2"/>
            </w:pPr>
            <w:r w:rsidRPr="00EC4287">
              <w:t>differential, transformer differential and bus overcurrent - principles, feeder protection, transformer protection, bias systems, harmonic restraint, current transformer connections, bus protection, low impedance sch</w:t>
            </w:r>
            <w:r w:rsidRPr="00EC4287">
              <w:t xml:space="preserve">emes, high impedance schemes, bus overcurrent schemes, </w:t>
            </w:r>
            <w:r w:rsidRPr="00EC4287">
              <w:t>generator protection,  special considerations and digital systems</w:t>
            </w:r>
          </w:p>
          <w:p w:rsidR="00000000" w:rsidRPr="00EC4287" w:rsidP="00EC4287">
            <w:pPr>
              <w:pStyle w:val="ListBullet2"/>
            </w:pPr>
            <w:r w:rsidRPr="00EC4287">
              <w:t>types of revenue metering</w:t>
            </w:r>
          </w:p>
          <w:p w:rsidR="00000000" w:rsidRPr="00EC4287" w:rsidP="00EC4287">
            <w:pPr>
              <w:pStyle w:val="ListBullet2"/>
            </w:pPr>
            <w:r w:rsidRPr="00EC4287">
              <w:t>applications of supervisory control and data acquisition (SCADA)</w:t>
            </w:r>
          </w:p>
          <w:p w:rsidR="00000000" w:rsidRPr="00EC4287" w:rsidP="00EC4287">
            <w:pPr>
              <w:pStyle w:val="ListBullet2"/>
            </w:pPr>
            <w:r w:rsidRPr="00EC4287">
              <w:t>complex protection systems for communications</w:t>
            </w:r>
          </w:p>
          <w:p w:rsidR="00000000" w:rsidRPr="00EC4287" w:rsidP="00EC4287">
            <w:pPr>
              <w:pStyle w:val="ListBullet2"/>
            </w:pPr>
            <w:r w:rsidRPr="00EC4287">
              <w:t>harmonic control</w:t>
            </w:r>
          </w:p>
          <w:p w:rsidR="00000000" w:rsidRPr="00EC4287" w:rsidP="00EC4287">
            <w:pPr>
              <w:pStyle w:val="ListBullet2"/>
            </w:pPr>
            <w:r w:rsidRPr="00EC4287">
              <w:t>point on wave switching.</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14" w:name="O_1005721"/>
      <w:bookmarkEnd w:id="14"/>
      <w:r w:rsidRPr="00EC4287">
        <w:t>Assessment Conditions</w:t>
      </w:r>
    </w:p>
    <w:tbl>
      <w:tblPr>
        <w:tblW w:w="9497" w:type="dxa"/>
        <w:tblLayout w:type="fixed"/>
        <w:tblCellMar>
          <w:left w:w="62" w:type="dxa"/>
          <w:right w:w="62" w:type="dxa"/>
        </w:tblCellMar>
        <w:tblLook w:val="0000"/>
      </w:tblPr>
      <w:tblGrid>
        <w:gridCol w:w="9497"/>
      </w:tblGrid>
      <w:tr w:rsidTr="00EC42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4287" w:rsidP="00EC4287">
            <w:pPr>
              <w:pStyle w:val="BodyText"/>
            </w:pPr>
            <w:r w:rsidRPr="00EC4287">
              <w:t>Assessors must hold credentials specified within the Standards for Registered Training Organisations current at the time of a</w:t>
            </w:r>
            <w:r w:rsidRPr="00EC4287">
              <w:t>ssessment.</w:t>
            </w:r>
          </w:p>
          <w:p w:rsidR="00000000" w:rsidRPr="00EC4287" w:rsidP="00EC4287">
            <w:pPr>
              <w:pStyle w:val="BodyText"/>
            </w:pPr>
            <w:r w:rsidRPr="00EC4287">
              <w:t>Assessment must satisfy the Principles of Assessment and Rules of Evidence and all regulatory requirements included within the Standards for Registered Training Organisations current at the time of assessment.</w:t>
            </w:r>
          </w:p>
          <w:p w:rsidR="00000000" w:rsidRPr="00EC4287" w:rsidP="00EC4287">
            <w:pPr>
              <w:pStyle w:val="BodyText"/>
            </w:pPr>
            <w:r w:rsidRPr="00EC4287">
              <w:t xml:space="preserve">Assessment must occur in workplace </w:t>
            </w:r>
            <w:r w:rsidRPr="00EC4287">
              <w:t>operational situations where it is appropriate to do so; where this is not appropriate, assessment must occur in simulated conditions involving realistic and authentic activities that replicate operational workplace conditions.</w:t>
            </w:r>
          </w:p>
          <w:p w:rsidR="00000000" w:rsidRPr="00EC4287" w:rsidP="00EC4287">
            <w:pPr>
              <w:pStyle w:val="BodyText"/>
            </w:pPr>
            <w:r w:rsidRPr="00EC4287">
              <w:t>Assessment processes and tec</w:t>
            </w:r>
            <w:r w:rsidRPr="00EC4287">
              <w:t>hniques must be appropriate to the language, literacy and numeracy requirements of the work being performed and the needs of the candidate.</w:t>
            </w:r>
          </w:p>
          <w:p w:rsidR="00000000" w:rsidRPr="00EC4287" w:rsidP="00EC4287">
            <w:pPr>
              <w:pStyle w:val="BodyText"/>
            </w:pPr>
            <w:r w:rsidRPr="00EC4287">
              <w:t>Resources for assessment must include access to:</w:t>
            </w:r>
          </w:p>
          <w:p w:rsidR="00000000" w:rsidRPr="00EC4287" w:rsidP="00EC4287">
            <w:pPr>
              <w:pStyle w:val="ListBullet"/>
            </w:pPr>
            <w:r w:rsidRPr="00EC4287">
              <w:t>a range of relevant exercises, case studies and/or other simulatio</w:t>
            </w:r>
            <w:r w:rsidRPr="00EC4287">
              <w:t>ns</w:t>
            </w:r>
          </w:p>
          <w:p w:rsidR="00000000" w:rsidRPr="00EC4287" w:rsidP="00EC4287">
            <w:pPr>
              <w:pStyle w:val="ListBullet"/>
            </w:pPr>
            <w:r w:rsidRPr="00EC4287">
              <w:t>relevant and appropriate materials, tools, facilities, equipment and PPE currently used in industry</w:t>
            </w:r>
          </w:p>
          <w:p w:rsidR="00000000" w:rsidRPr="00EC4287" w:rsidP="00EC4287">
            <w:pPr>
              <w:pStyle w:val="ListBullet"/>
            </w:pPr>
            <w:r w:rsidRPr="00EC4287">
              <w:t>applicable documentation, including workplace procedures, relevant industr</w:t>
            </w:r>
            <w:r w:rsidRPr="00EC4287">
              <w:t>y standards, equipment specifications, regulations, codes of practice and operation manuals.</w:t>
            </w:r>
          </w:p>
        </w:tc>
      </w:tr>
    </w:tbl>
    <w:p w:rsidR="00000000" w:rsidRPr="00EC4287" w:rsidP="00EC4287">
      <w:pPr>
        <w:pStyle w:val="NoPaddingFontSize1"/>
      </w:pPr>
    </w:p>
    <w:p w:rsidR="00000000" w:rsidRPr="00EC4287" w:rsidP="00EC4287">
      <w:pPr>
        <w:pStyle w:val="AllowPageBreak"/>
      </w:pPr>
    </w:p>
    <w:p w:rsidR="00000000" w:rsidRPr="00EC4287" w:rsidP="00EC4287">
      <w:pPr>
        <w:pStyle w:val="Heading1"/>
      </w:pPr>
      <w:bookmarkStart w:id="15" w:name="O_1005724"/>
      <w:bookmarkEnd w:id="15"/>
      <w:r w:rsidRPr="00EC4287">
        <w:t>Links</w:t>
      </w:r>
    </w:p>
    <w:p w:rsidR="00000000" w:rsidRPr="00EC4287" w:rsidP="00DF6C35">
      <w:pPr>
        <w:pStyle w:val="BodyText"/>
      </w:pPr>
      <w:r w:rsidRPr="00EC428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25653">
        <w:rPr>
          <w:rStyle w:val="Hyperlink"/>
        </w:rPr>
        <w:t>https://vetnet.gov.au/Pages/TrainingDocs.aspx?q=229bace1-b7bc-4653-9300-dffb13ecfad7</w:t>
      </w:r>
      <w:r>
        <w:fldChar w:fldCharType="end"/>
      </w:r>
    </w:p>
    <w:p w:rsidR="00000000" w:rsidRPr="00EC4287" w:rsidP="00EC4287"/>
    <w:sectPr w:rsidSect="00EC42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87" w:rsidRPr="00DF6C35" w:rsidP="00DF6C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5" w:rsidP="00EC4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F6C35" w:rsidP="00EC42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F6C35" w:rsidP="00EC42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87" w:rsidP="00EC4287">
    <w:pPr>
      <w:pStyle w:val="Footer"/>
      <w:framePr w:wrap="around"/>
    </w:pPr>
    <w:r>
      <w:fldChar w:fldCharType="begin"/>
    </w:r>
    <w:r>
      <w:instrText xml:space="preserve"> DOCPROPERTY  Subject  \* MERGEFORMAT </w:instrText>
    </w:r>
    <w:r>
      <w:fldChar w:fldCharType="separate"/>
    </w:r>
    <w:r w:rsidR="00DF6C35">
      <w:t>Approved</w:t>
    </w:r>
    <w:r w:rsidR="00DF6C35">
      <w:fldChar w:fldCharType="end"/>
    </w:r>
    <w:r>
      <w:tab/>
      <w:t xml:space="preserve">Page </w:t>
    </w:r>
    <w:r>
      <w:fldChar w:fldCharType="begin"/>
    </w:r>
    <w:r>
      <w:instrText xml:space="preserve"> PAGE  \* Arabic  \* MERGEFORMAT </w:instrText>
    </w:r>
    <w:r>
      <w:fldChar w:fldCharType="separate"/>
    </w:r>
    <w:r w:rsidR="00DF6C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6C35">
      <w:rPr>
        <w:noProof/>
      </w:rPr>
      <w:t>5</w:t>
    </w:r>
    <w:r>
      <w:rPr>
        <w:noProof/>
      </w:rPr>
      <w:fldChar w:fldCharType="end"/>
    </w:r>
  </w:p>
  <w:p w:rsidR="00EC4287" w:rsidP="00EC4287">
    <w:pPr>
      <w:pStyle w:val="Footer"/>
      <w:framePr w:wrap="around"/>
    </w:pPr>
    <w:r>
      <w:t xml:space="preserve">© Commonwealth of Australia, </w:t>
    </w:r>
    <w:r>
      <w:fldChar w:fldCharType="begin"/>
    </w:r>
    <w:r>
      <w:instrText xml:space="preserve"> DATE  \@ "yyyy"  \* MERGEFORMAT </w:instrText>
    </w:r>
    <w:r>
      <w:fldChar w:fldCharType="separate"/>
    </w:r>
    <w:r w:rsidR="00DF6C35">
      <w:rPr>
        <w:noProof/>
      </w:rPr>
      <w:t>2025</w:t>
    </w:r>
    <w:r>
      <w:fldChar w:fldCharType="end"/>
    </w:r>
    <w:r>
      <w:tab/>
    </w:r>
    <w:r>
      <w:fldChar w:fldCharType="begin"/>
    </w:r>
    <w:r>
      <w:instrText xml:space="preserve"> DOCPROPERTY  Author  \* MERGEFORMAT </w:instrText>
    </w:r>
    <w:r>
      <w:fldChar w:fldCharType="separate"/>
    </w:r>
    <w:r w:rsidR="00DF6C35">
      <w:t>Powering Skills Organisation</w:t>
    </w:r>
    <w:r w:rsidR="00DF6C35">
      <w:fldChar w:fldCharType="end"/>
    </w:r>
  </w:p>
  <w:p w:rsidR="00EC4287" w:rsidP="00EC4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287" w:rsidRPr="00DF6C35" w:rsidP="00DF6C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C35" w:rsidRPr="002D2AF8" w:rsidP="00EC4287">
    <w:pPr>
      <w:pStyle w:val="Header"/>
      <w:framePr w:wrap="around"/>
    </w:pPr>
    <w:r>
      <w:fldChar w:fldCharType="begin"/>
    </w:r>
    <w:r>
      <w:instrText xml:space="preserve"> TITLE   \* MERGEFORMAT </w:instrText>
    </w:r>
    <w:r>
      <w:fldChar w:fldCharType="separate"/>
    </w:r>
    <w:r>
      <w:t>UETTDRTS35 Maintain complex network protection and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6C35" w:rsidP="00EC42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287" w:rsidRPr="002D2AF8" w:rsidP="00EC4287">
    <w:pPr>
      <w:pStyle w:val="Header"/>
      <w:framePr w:wrap="around"/>
    </w:pPr>
    <w:r>
      <w:fldChar w:fldCharType="begin"/>
    </w:r>
    <w:r>
      <w:instrText xml:space="preserve"> TITLE   \* MERGEFORMAT </w:instrText>
    </w:r>
    <w:r>
      <w:fldChar w:fldCharType="separate"/>
    </w:r>
    <w:r w:rsidR="00DF6C35">
      <w:t>UETTDRTS35 Maintain complex network protection and control systems</w:t>
    </w:r>
    <w:r w:rsidR="00DF6C35">
      <w:fldChar w:fldCharType="end"/>
    </w:r>
    <w:r>
      <w:tab/>
      <w:t xml:space="preserve">Date this document was generated: </w:t>
    </w:r>
    <w:r>
      <w:fldChar w:fldCharType="begin"/>
    </w:r>
    <w:r>
      <w:instrText xml:space="preserve"> CREATEDATE  \@ "d MMMM yyyy"  \* MERGEFORMAT </w:instrText>
    </w:r>
    <w:r>
      <w:fldChar w:fldCharType="separate"/>
    </w:r>
    <w:r w:rsidR="00DF6C35">
      <w:rPr>
        <w:noProof/>
      </w:rPr>
      <w:t>2 March 2025</w:t>
    </w:r>
    <w:r>
      <w:fldChar w:fldCharType="end"/>
    </w:r>
  </w:p>
  <w:p w:rsidR="00EC4287" w:rsidP="00EC4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5CA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1C8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28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287"/>
    <w:pPr>
      <w:spacing w:before="360" w:after="60"/>
      <w:outlineLvl w:val="0"/>
    </w:pPr>
    <w:rPr>
      <w:sz w:val="32"/>
    </w:rPr>
  </w:style>
  <w:style w:type="paragraph" w:styleId="Heading2">
    <w:name w:val="heading 2"/>
    <w:basedOn w:val="HeadingBase"/>
    <w:next w:val="BodyText"/>
    <w:link w:val="Heading2Char"/>
    <w:qFormat/>
    <w:rsid w:val="00EC4287"/>
    <w:pPr>
      <w:keepLines/>
      <w:spacing w:before="240" w:after="120"/>
      <w:outlineLvl w:val="1"/>
    </w:pPr>
    <w:rPr>
      <w:sz w:val="28"/>
      <w:szCs w:val="40"/>
    </w:rPr>
  </w:style>
  <w:style w:type="paragraph" w:styleId="Heading3">
    <w:name w:val="heading 3"/>
    <w:basedOn w:val="HeadingBase"/>
    <w:next w:val="BodyText"/>
    <w:link w:val="Heading3Char"/>
    <w:qFormat/>
    <w:rsid w:val="00EC4287"/>
    <w:pPr>
      <w:spacing w:before="180" w:after="120"/>
      <w:outlineLvl w:val="2"/>
    </w:pPr>
    <w:rPr>
      <w:spacing w:val="-10"/>
      <w:kern w:val="32"/>
    </w:rPr>
  </w:style>
  <w:style w:type="paragraph" w:styleId="Heading4">
    <w:name w:val="heading 4"/>
    <w:basedOn w:val="HeadingBase"/>
    <w:next w:val="BodyText"/>
    <w:link w:val="Heading4Char"/>
    <w:qFormat/>
    <w:rsid w:val="00EC4287"/>
    <w:pPr>
      <w:spacing w:before="160" w:after="120"/>
      <w:outlineLvl w:val="3"/>
    </w:pPr>
    <w:rPr>
      <w:sz w:val="22"/>
    </w:rPr>
  </w:style>
  <w:style w:type="paragraph" w:styleId="Heading5">
    <w:name w:val="heading 5"/>
    <w:basedOn w:val="HeadingBase"/>
    <w:next w:val="Normal"/>
    <w:link w:val="Heading5Char"/>
    <w:qFormat/>
    <w:rsid w:val="00EC4287"/>
    <w:pPr>
      <w:spacing w:before="80"/>
      <w:outlineLvl w:val="4"/>
    </w:pPr>
    <w:rPr>
      <w:color w:val="918585"/>
      <w:sz w:val="20"/>
    </w:rPr>
  </w:style>
  <w:style w:type="paragraph" w:styleId="Heading6">
    <w:name w:val="heading 6"/>
    <w:basedOn w:val="HeadingBase"/>
    <w:next w:val="Normal"/>
    <w:link w:val="Heading6Char"/>
    <w:qFormat/>
    <w:rsid w:val="00EC4287"/>
    <w:pPr>
      <w:spacing w:before="60"/>
      <w:outlineLvl w:val="5"/>
    </w:pPr>
    <w:rPr>
      <w:color w:val="918585"/>
      <w:sz w:val="20"/>
    </w:rPr>
  </w:style>
  <w:style w:type="paragraph" w:styleId="Heading7">
    <w:name w:val="heading 7"/>
    <w:basedOn w:val="Normal"/>
    <w:next w:val="Normal"/>
    <w:link w:val="Heading7Char"/>
    <w:qFormat/>
    <w:rsid w:val="00EC4287"/>
    <w:pPr>
      <w:ind w:left="720"/>
      <w:outlineLvl w:val="6"/>
    </w:pPr>
    <w:rPr>
      <w:i/>
    </w:rPr>
  </w:style>
  <w:style w:type="paragraph" w:styleId="Heading8">
    <w:name w:val="heading 8"/>
    <w:basedOn w:val="Normal"/>
    <w:next w:val="Normal"/>
    <w:link w:val="Heading8Char"/>
    <w:qFormat/>
    <w:rsid w:val="00EC4287"/>
    <w:pPr>
      <w:ind w:left="720"/>
      <w:outlineLvl w:val="7"/>
    </w:pPr>
    <w:rPr>
      <w:i/>
    </w:rPr>
  </w:style>
  <w:style w:type="paragraph" w:styleId="Heading9">
    <w:name w:val="heading 9"/>
    <w:basedOn w:val="Normal"/>
    <w:next w:val="Normal"/>
    <w:link w:val="Heading9Char"/>
    <w:qFormat/>
    <w:rsid w:val="00EC4287"/>
    <w:pPr>
      <w:ind w:left="720"/>
      <w:outlineLvl w:val="8"/>
    </w:pPr>
    <w:rPr>
      <w:i/>
    </w:rPr>
  </w:style>
  <w:style w:type="character" w:default="1" w:styleId="DefaultParagraphFont">
    <w:name w:val="Default Paragraph Font"/>
    <w:uiPriority w:val="1"/>
    <w:unhideWhenUsed/>
    <w:rsid w:val="00EC4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287"/>
  </w:style>
  <w:style w:type="character" w:customStyle="1" w:styleId="Heading1Char">
    <w:name w:val="Heading 1 Char"/>
    <w:basedOn w:val="DefaultParagraphFont"/>
    <w:link w:val="Heading1"/>
    <w:rsid w:val="00EC4287"/>
    <w:rPr>
      <w:rFonts w:ascii="Times New Roman" w:eastAsia="Times New Roman" w:hAnsi="Times New Roman" w:cs="Times New Roman"/>
      <w:b/>
      <w:sz w:val="32"/>
      <w:szCs w:val="20"/>
      <w:lang w:eastAsia="en-US"/>
    </w:rPr>
  </w:style>
  <w:style w:type="paragraph" w:styleId="BodyText">
    <w:name w:val="Body Text"/>
    <w:basedOn w:val="Normal"/>
    <w:link w:val="BodyTextChar"/>
    <w:rsid w:val="00EC42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287"/>
    <w:rPr>
      <w:rFonts w:ascii="Times New Roman" w:eastAsia="Times New Roman" w:hAnsi="Times New Roman" w:cs="Times New Roman"/>
      <w:sz w:val="24"/>
      <w:lang w:eastAsia="en-US"/>
    </w:rPr>
  </w:style>
  <w:style w:type="paragraph" w:styleId="ListBullet">
    <w:name w:val="List Bullet"/>
    <w:basedOn w:val="List"/>
    <w:rsid w:val="00EC4287"/>
    <w:pPr>
      <w:numPr>
        <w:numId w:val="12"/>
      </w:numPr>
      <w:tabs>
        <w:tab w:val="clear" w:pos="340"/>
      </w:tabs>
      <w:spacing w:before="40" w:after="40"/>
    </w:pPr>
  </w:style>
  <w:style w:type="character" w:customStyle="1" w:styleId="SpecialBold">
    <w:name w:val="Special Bold"/>
    <w:basedOn w:val="DefaultParagraphFont"/>
    <w:rsid w:val="00EC4287"/>
    <w:rPr>
      <w:b/>
      <w:spacing w:val="0"/>
    </w:rPr>
  </w:style>
  <w:style w:type="paragraph" w:styleId="ListBullet2">
    <w:name w:val="List Bullet 2"/>
    <w:basedOn w:val="List2"/>
    <w:rsid w:val="00EC4287"/>
    <w:pPr>
      <w:numPr>
        <w:numId w:val="13"/>
      </w:numPr>
      <w:tabs>
        <w:tab w:val="clear" w:pos="680"/>
      </w:tabs>
    </w:pPr>
  </w:style>
  <w:style w:type="paragraph" w:customStyle="1" w:styleId="SuperHeading">
    <w:name w:val="SuperHeading"/>
    <w:basedOn w:val="Normal"/>
    <w:rsid w:val="00EC4287"/>
    <w:pPr>
      <w:spacing w:before="240" w:after="120"/>
      <w:outlineLvl w:val="0"/>
    </w:pPr>
    <w:rPr>
      <w:rFonts w:ascii="Times New Roman" w:hAnsi="Times New Roman"/>
      <w:b/>
      <w:sz w:val="32"/>
    </w:rPr>
  </w:style>
  <w:style w:type="paragraph" w:customStyle="1" w:styleId="AllowPageBreak">
    <w:name w:val="AllowPageBreak"/>
    <w:rsid w:val="00EC42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4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287"/>
    <w:rPr>
      <w:rFonts w:ascii="Courier New" w:eastAsia="Times New Roman" w:hAnsi="Courier New" w:cs="Times New Roman"/>
      <w:i/>
      <w:szCs w:val="20"/>
      <w:lang w:eastAsia="en-US"/>
    </w:rPr>
  </w:style>
  <w:style w:type="paragraph" w:customStyle="1" w:styleId="HeadingBase">
    <w:name w:val="Heading Base"/>
    <w:rsid w:val="00EC4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287"/>
    <w:pPr>
      <w:tabs>
        <w:tab w:val="right" w:leader="dot" w:pos="9072"/>
      </w:tabs>
      <w:ind w:left="567"/>
    </w:pPr>
    <w:rPr>
      <w:szCs w:val="22"/>
    </w:rPr>
  </w:style>
  <w:style w:type="paragraph" w:customStyle="1" w:styleId="TOCBase">
    <w:name w:val="TOC Base"/>
    <w:rsid w:val="00EC4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287"/>
    <w:pPr>
      <w:tabs>
        <w:tab w:val="right" w:leader="dot" w:pos="9072"/>
      </w:tabs>
      <w:spacing w:before="40" w:after="40"/>
      <w:ind w:left="284"/>
    </w:pPr>
    <w:rPr>
      <w:rFonts w:ascii="Times New Roman" w:hAnsi="Times New Roman"/>
    </w:rPr>
  </w:style>
  <w:style w:type="paragraph" w:styleId="TOC1">
    <w:name w:val="toc 1"/>
    <w:basedOn w:val="TOCBase"/>
    <w:next w:val="Normal"/>
    <w:rsid w:val="00EC4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287"/>
    <w:rPr>
      <w:rFonts w:ascii="Times New Roman" w:eastAsia="Times New Roman" w:hAnsi="Times New Roman" w:cs="Times New Roman"/>
      <w:sz w:val="16"/>
      <w:lang w:eastAsia="en-US"/>
    </w:rPr>
  </w:style>
  <w:style w:type="paragraph" w:styleId="Title">
    <w:name w:val="Title"/>
    <w:basedOn w:val="HeadingBase"/>
    <w:link w:val="TitleChar"/>
    <w:qFormat/>
    <w:rsid w:val="00EC4287"/>
    <w:pPr>
      <w:spacing w:before="5040"/>
      <w:jc w:val="center"/>
    </w:pPr>
    <w:rPr>
      <w:sz w:val="48"/>
      <w:szCs w:val="72"/>
      <w:lang w:val="en-US"/>
    </w:rPr>
  </w:style>
  <w:style w:type="character" w:customStyle="1" w:styleId="TitleChar">
    <w:name w:val="Title Char"/>
    <w:basedOn w:val="DefaultParagraphFont"/>
    <w:link w:val="Title"/>
    <w:rsid w:val="00EC4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287"/>
    <w:pPr>
      <w:tabs>
        <w:tab w:val="left" w:pos="3600"/>
        <w:tab w:val="left" w:pos="3958"/>
      </w:tabs>
    </w:pPr>
  </w:style>
  <w:style w:type="paragraph" w:styleId="List">
    <w:name w:val="List"/>
    <w:basedOn w:val="BodyText"/>
    <w:next w:val="BodyText"/>
    <w:rsid w:val="00EC4287"/>
    <w:pPr>
      <w:tabs>
        <w:tab w:val="left" w:pos="340"/>
      </w:tabs>
      <w:spacing w:before="60" w:after="60"/>
      <w:ind w:left="340" w:hanging="340"/>
    </w:pPr>
  </w:style>
  <w:style w:type="paragraph" w:customStyle="1" w:styleId="Note">
    <w:name w:val="Note"/>
    <w:basedOn w:val="BodyText"/>
    <w:rsid w:val="00EC4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287"/>
    <w:pPr>
      <w:framePr w:wrap="auto" w:hAnchor="text" w:y="6049"/>
    </w:pPr>
    <w:rPr>
      <w:color w:val="000000"/>
      <w:sz w:val="40"/>
    </w:rPr>
  </w:style>
  <w:style w:type="paragraph" w:customStyle="1" w:styleId="TOCTitle">
    <w:name w:val="TOCTitle"/>
    <w:basedOn w:val="Heading1"/>
    <w:rsid w:val="00EC4287"/>
    <w:pPr>
      <w:spacing w:after="240"/>
      <w:jc w:val="center"/>
      <w:outlineLvl w:val="9"/>
    </w:pPr>
    <w:rPr>
      <w:caps/>
    </w:rPr>
  </w:style>
  <w:style w:type="paragraph" w:customStyle="1" w:styleId="Version">
    <w:name w:val="Version"/>
    <w:rsid w:val="00EC42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287"/>
    <w:pPr>
      <w:keepNext w:val="0"/>
      <w:tabs>
        <w:tab w:val="right" w:pos="4176"/>
      </w:tabs>
      <w:ind w:left="198" w:hanging="198"/>
    </w:pPr>
    <w:rPr>
      <w:rFonts w:ascii="Garamond" w:hAnsi="Garamond"/>
    </w:rPr>
  </w:style>
  <w:style w:type="paragraph" w:styleId="IndexHeading">
    <w:name w:val="index heading"/>
    <w:basedOn w:val="Normal"/>
    <w:next w:val="Index1"/>
    <w:semiHidden/>
    <w:rsid w:val="00EC4287"/>
    <w:pPr>
      <w:spacing w:before="120" w:after="120"/>
    </w:pPr>
    <w:rPr>
      <w:rFonts w:ascii="Arial" w:hAnsi="Arial"/>
      <w:b/>
      <w:color w:val="918585"/>
      <w:sz w:val="24"/>
    </w:rPr>
  </w:style>
  <w:style w:type="paragraph" w:styleId="Header">
    <w:name w:val="header"/>
    <w:basedOn w:val="Normal"/>
    <w:link w:val="HeaderChar"/>
    <w:rsid w:val="00EC4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287"/>
    <w:rPr>
      <w:rFonts w:ascii="Times New Roman" w:eastAsia="Times New Roman" w:hAnsi="Times New Roman" w:cs="Times New Roman"/>
      <w:sz w:val="16"/>
      <w:szCs w:val="20"/>
      <w:lang w:val="en-GB" w:eastAsia="en-US"/>
    </w:rPr>
  </w:style>
  <w:style w:type="paragraph" w:customStyle="1" w:styleId="Chapter">
    <w:name w:val="Chapter"/>
    <w:basedOn w:val="Normal"/>
    <w:rsid w:val="00EC4287"/>
    <w:pPr>
      <w:spacing w:before="240"/>
    </w:pPr>
    <w:rPr>
      <w:rFonts w:ascii="Times New Roman" w:hAnsi="Times New Roman"/>
      <w:smallCaps/>
      <w:spacing w:val="80"/>
      <w:sz w:val="28"/>
    </w:rPr>
  </w:style>
  <w:style w:type="paragraph" w:customStyle="1" w:styleId="InChapter">
    <w:name w:val="InChapter"/>
    <w:basedOn w:val="Heading3"/>
    <w:rsid w:val="00EC4287"/>
    <w:pPr>
      <w:spacing w:after="240"/>
      <w:outlineLvl w:val="9"/>
    </w:pPr>
    <w:rPr>
      <w:noProof/>
    </w:rPr>
  </w:style>
  <w:style w:type="paragraph" w:styleId="Index2">
    <w:name w:val="index 2"/>
    <w:basedOn w:val="Normal"/>
    <w:next w:val="Normal"/>
    <w:semiHidden/>
    <w:rsid w:val="00EC4287"/>
    <w:pPr>
      <w:tabs>
        <w:tab w:val="right" w:pos="4176"/>
      </w:tabs>
      <w:ind w:left="568" w:hanging="284"/>
    </w:pPr>
    <w:rPr>
      <w:rFonts w:ascii="Garamond" w:hAnsi="Garamond"/>
    </w:rPr>
  </w:style>
  <w:style w:type="paragraph" w:customStyle="1" w:styleId="Byline">
    <w:name w:val="Byline"/>
    <w:rsid w:val="00EC4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287"/>
    <w:pPr>
      <w:tabs>
        <w:tab w:val="clear" w:pos="3600"/>
        <w:tab w:val="clear" w:pos="3958"/>
      </w:tabs>
      <w:jc w:val="right"/>
    </w:pPr>
  </w:style>
  <w:style w:type="character" w:styleId="Emphasis">
    <w:name w:val="Emphasis"/>
    <w:basedOn w:val="DefaultParagraphFont"/>
    <w:qFormat/>
    <w:rsid w:val="00EC4287"/>
    <w:rPr>
      <w:i/>
    </w:rPr>
  </w:style>
  <w:style w:type="paragraph" w:styleId="Caption">
    <w:name w:val="caption"/>
    <w:basedOn w:val="BodyText"/>
    <w:next w:val="Normal"/>
    <w:qFormat/>
    <w:rsid w:val="00EC4287"/>
    <w:pPr>
      <w:framePr w:w="2268" w:hSpace="181" w:vSpace="181" w:wrap="around" w:vAnchor="text" w:hAnchor="page" w:x="1135" w:y="285" w:anchorLock="1"/>
    </w:pPr>
    <w:rPr>
      <w:i/>
    </w:rPr>
  </w:style>
  <w:style w:type="paragraph" w:customStyle="1" w:styleId="MiniTOCTitle">
    <w:name w:val="MiniTOCTitle"/>
    <w:basedOn w:val="Heading4"/>
    <w:rsid w:val="00EC4287"/>
    <w:pPr>
      <w:spacing w:before="240"/>
      <w:outlineLvl w:val="9"/>
    </w:pPr>
    <w:rPr>
      <w:noProof/>
      <w:sz w:val="24"/>
    </w:rPr>
  </w:style>
  <w:style w:type="paragraph" w:customStyle="1" w:styleId="MiniTOCItem">
    <w:name w:val="MiniTOCItem"/>
    <w:basedOn w:val="ListBullet"/>
    <w:rsid w:val="00EC4287"/>
    <w:pPr>
      <w:numPr>
        <w:numId w:val="0"/>
      </w:numPr>
      <w:tabs>
        <w:tab w:val="right" w:leader="dot" w:pos="6521"/>
      </w:tabs>
      <w:spacing w:before="0" w:after="0"/>
    </w:pPr>
  </w:style>
  <w:style w:type="paragraph" w:customStyle="1" w:styleId="TOFTitle">
    <w:name w:val="TOFTitle"/>
    <w:basedOn w:val="TOCTitle"/>
    <w:rsid w:val="00EC4287"/>
  </w:style>
  <w:style w:type="paragraph" w:styleId="TableofFigures">
    <w:name w:val="table of figures"/>
    <w:basedOn w:val="Normal"/>
    <w:next w:val="Normal"/>
    <w:semiHidden/>
    <w:rsid w:val="00EC4287"/>
    <w:pPr>
      <w:tabs>
        <w:tab w:val="right" w:leader="dot" w:pos="9072"/>
      </w:tabs>
      <w:ind w:left="970" w:hanging="403"/>
    </w:pPr>
    <w:rPr>
      <w:rFonts w:ascii="Times New Roman" w:hAnsi="Times New Roman"/>
      <w:b/>
    </w:rPr>
  </w:style>
  <w:style w:type="paragraph" w:styleId="ListNumber">
    <w:name w:val="List Number"/>
    <w:basedOn w:val="List"/>
    <w:rsid w:val="00EC4287"/>
    <w:pPr>
      <w:numPr>
        <w:numId w:val="15"/>
      </w:numPr>
      <w:tabs>
        <w:tab w:val="clear" w:pos="340"/>
      </w:tabs>
    </w:pPr>
  </w:style>
  <w:style w:type="character" w:customStyle="1" w:styleId="WingdingSymbols">
    <w:name w:val="Wingding Symbols"/>
    <w:rsid w:val="00EC4287"/>
    <w:rPr>
      <w:rFonts w:ascii="Wingdings" w:hAnsi="Wingdings"/>
    </w:rPr>
  </w:style>
  <w:style w:type="paragraph" w:customStyle="1" w:styleId="TableHeading">
    <w:name w:val="Table Heading"/>
    <w:basedOn w:val="HeadingBase"/>
    <w:rsid w:val="00EC4287"/>
    <w:pPr>
      <w:keepLines/>
      <w:pBdr>
        <w:bottom w:val="single" w:sz="6" w:space="1" w:color="918585"/>
      </w:pBdr>
      <w:spacing w:before="240"/>
    </w:pPr>
  </w:style>
  <w:style w:type="character" w:customStyle="1" w:styleId="HotSpot">
    <w:name w:val="HotSpot"/>
    <w:rsid w:val="00EC4287"/>
    <w:rPr>
      <w:color w:val="0033CC"/>
      <w:u w:val="none"/>
    </w:rPr>
  </w:style>
  <w:style w:type="paragraph" w:customStyle="1" w:styleId="BodyTextRight">
    <w:name w:val="Body Text Right"/>
    <w:basedOn w:val="BodyText"/>
    <w:rsid w:val="00EC4287"/>
    <w:pPr>
      <w:spacing w:before="0" w:after="0"/>
      <w:jc w:val="right"/>
    </w:pPr>
  </w:style>
  <w:style w:type="paragraph" w:styleId="Index3">
    <w:name w:val="index 3"/>
    <w:basedOn w:val="ListNumber2"/>
    <w:next w:val="Normal"/>
    <w:semiHidden/>
    <w:rsid w:val="00EC4287"/>
    <w:pPr>
      <w:numPr>
        <w:numId w:val="0"/>
      </w:numPr>
      <w:tabs>
        <w:tab w:val="right" w:leader="dot" w:pos="4176"/>
      </w:tabs>
    </w:pPr>
  </w:style>
  <w:style w:type="paragraph" w:styleId="ListNumber2">
    <w:name w:val="List Number 2"/>
    <w:basedOn w:val="List2"/>
    <w:rsid w:val="00EC4287"/>
    <w:pPr>
      <w:numPr>
        <w:numId w:val="10"/>
      </w:numPr>
      <w:tabs>
        <w:tab w:val="clear" w:pos="1060"/>
      </w:tabs>
    </w:pPr>
  </w:style>
  <w:style w:type="paragraph" w:customStyle="1" w:styleId="MarginNote">
    <w:name w:val="Margin Note"/>
    <w:basedOn w:val="BodyText"/>
    <w:rsid w:val="00EC4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287"/>
    <w:rPr>
      <w:sz w:val="32"/>
    </w:rPr>
  </w:style>
  <w:style w:type="paragraph" w:customStyle="1" w:styleId="HeadingProcedure">
    <w:name w:val="Heading Procedure"/>
    <w:basedOn w:val="HeadingBase"/>
    <w:next w:val="Normal"/>
    <w:rsid w:val="00EC4287"/>
    <w:pPr>
      <w:tabs>
        <w:tab w:val="left" w:pos="0"/>
      </w:tabs>
      <w:spacing w:before="120" w:after="60"/>
    </w:pPr>
    <w:rPr>
      <w:i/>
      <w:color w:val="918585"/>
      <w:sz w:val="22"/>
    </w:rPr>
  </w:style>
  <w:style w:type="paragraph" w:customStyle="1" w:styleId="TableBodyText">
    <w:name w:val="Table Body Text"/>
    <w:basedOn w:val="BodyText"/>
    <w:rsid w:val="00EC4287"/>
    <w:pPr>
      <w:spacing w:before="60" w:after="60"/>
    </w:pPr>
  </w:style>
  <w:style w:type="paragraph" w:styleId="ListContinue">
    <w:name w:val="List Continue"/>
    <w:basedOn w:val="List"/>
    <w:rsid w:val="00EC4287"/>
    <w:pPr>
      <w:ind w:firstLine="0"/>
    </w:pPr>
  </w:style>
  <w:style w:type="paragraph" w:customStyle="1" w:styleId="ListNote">
    <w:name w:val="List Note"/>
    <w:basedOn w:val="List"/>
    <w:rsid w:val="00EC4287"/>
    <w:pPr>
      <w:pBdr>
        <w:top w:val="single" w:sz="6" w:space="2" w:color="918585"/>
        <w:bottom w:val="single" w:sz="6" w:space="2" w:color="918585"/>
      </w:pBdr>
      <w:tabs>
        <w:tab w:val="left" w:pos="1021"/>
      </w:tabs>
      <w:ind w:firstLine="0"/>
    </w:pPr>
  </w:style>
  <w:style w:type="paragraph" w:customStyle="1" w:styleId="Warning">
    <w:name w:val="Warning"/>
    <w:basedOn w:val="BodyText"/>
    <w:rsid w:val="00EC4287"/>
    <w:pPr>
      <w:shd w:val="clear" w:color="auto" w:fill="D9D9D9"/>
      <w:tabs>
        <w:tab w:val="left" w:pos="992"/>
      </w:tabs>
      <w:ind w:left="119" w:right="119"/>
    </w:pPr>
    <w:rPr>
      <w:sz w:val="20"/>
    </w:rPr>
  </w:style>
  <w:style w:type="paragraph" w:customStyle="1" w:styleId="MarginIcons">
    <w:name w:val="Margin Icons"/>
    <w:basedOn w:val="BodyText"/>
    <w:rsid w:val="00EC4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287"/>
    <w:rPr>
      <w:rFonts w:ascii="Courier New" w:hAnsi="Courier New"/>
    </w:rPr>
  </w:style>
  <w:style w:type="paragraph" w:customStyle="1" w:styleId="NoteBullet">
    <w:name w:val="Note Bullet"/>
    <w:basedOn w:val="Note"/>
    <w:rsid w:val="00EC4287"/>
    <w:pPr>
      <w:tabs>
        <w:tab w:val="clear" w:pos="680"/>
      </w:tabs>
      <w:spacing w:before="60" w:after="60"/>
    </w:pPr>
  </w:style>
  <w:style w:type="paragraph" w:customStyle="1" w:styleId="SubHeading2">
    <w:name w:val="SubHeading2"/>
    <w:basedOn w:val="HeadingBase"/>
    <w:rsid w:val="00EC4287"/>
    <w:pPr>
      <w:spacing w:before="240" w:after="60"/>
    </w:pPr>
    <w:rPr>
      <w:sz w:val="20"/>
    </w:rPr>
  </w:style>
  <w:style w:type="paragraph" w:customStyle="1" w:styleId="SubHeading1">
    <w:name w:val="SubHeading1"/>
    <w:basedOn w:val="HeadingBase"/>
    <w:rsid w:val="00EC4287"/>
    <w:pPr>
      <w:spacing w:before="240" w:after="60"/>
    </w:pPr>
    <w:rPr>
      <w:color w:val="918585"/>
      <w:sz w:val="22"/>
    </w:rPr>
  </w:style>
  <w:style w:type="paragraph" w:customStyle="1" w:styleId="SideHeading">
    <w:name w:val="Side Heading"/>
    <w:basedOn w:val="HeadingBase"/>
    <w:rsid w:val="00EC4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287"/>
    <w:pPr>
      <w:tabs>
        <w:tab w:val="num" w:pos="360"/>
      </w:tabs>
    </w:pPr>
  </w:style>
  <w:style w:type="paragraph" w:styleId="PlainText">
    <w:name w:val="Plain Text"/>
    <w:basedOn w:val="Normal"/>
    <w:link w:val="PlainTextChar"/>
    <w:rsid w:val="00EC4287"/>
    <w:rPr>
      <w:sz w:val="20"/>
    </w:rPr>
  </w:style>
  <w:style w:type="character" w:customStyle="1" w:styleId="PlainTextChar">
    <w:name w:val="Plain Text Char"/>
    <w:basedOn w:val="DefaultParagraphFont"/>
    <w:link w:val="PlainText"/>
    <w:rsid w:val="00EC4287"/>
    <w:rPr>
      <w:rFonts w:ascii="Courier New" w:eastAsia="Times New Roman" w:hAnsi="Courier New" w:cs="Times New Roman"/>
      <w:sz w:val="20"/>
      <w:szCs w:val="20"/>
      <w:lang w:eastAsia="en-US"/>
    </w:rPr>
  </w:style>
  <w:style w:type="character" w:customStyle="1" w:styleId="MenuOption">
    <w:name w:val="Menu Option"/>
    <w:basedOn w:val="DefaultParagraphFont"/>
    <w:rsid w:val="00EC4287"/>
    <w:rPr>
      <w:b/>
      <w:smallCaps/>
    </w:rPr>
  </w:style>
  <w:style w:type="paragraph" w:customStyle="1" w:styleId="TableListNumber">
    <w:name w:val="Table List Number"/>
    <w:basedOn w:val="ListNumber"/>
    <w:rsid w:val="00EC4287"/>
    <w:pPr>
      <w:numPr>
        <w:numId w:val="0"/>
      </w:numPr>
    </w:pPr>
  </w:style>
  <w:style w:type="paragraph" w:styleId="TOC4">
    <w:name w:val="toc 4"/>
    <w:basedOn w:val="TOCBase"/>
    <w:next w:val="Normal"/>
    <w:semiHidden/>
    <w:rsid w:val="00EC4287"/>
    <w:pPr>
      <w:tabs>
        <w:tab w:val="right" w:leader="dot" w:pos="9071"/>
      </w:tabs>
      <w:ind w:left="1701"/>
    </w:pPr>
  </w:style>
  <w:style w:type="paragraph" w:customStyle="1" w:styleId="ListAlpha">
    <w:name w:val="List Alpha"/>
    <w:basedOn w:val="List"/>
    <w:rsid w:val="00EC4287"/>
    <w:pPr>
      <w:numPr>
        <w:numId w:val="9"/>
      </w:numPr>
    </w:pPr>
  </w:style>
  <w:style w:type="paragraph" w:customStyle="1" w:styleId="ListAlpha2">
    <w:name w:val="List Alpha 2"/>
    <w:basedOn w:val="List2"/>
    <w:rsid w:val="00EC4287"/>
    <w:pPr>
      <w:numPr>
        <w:numId w:val="8"/>
      </w:numPr>
    </w:pPr>
  </w:style>
  <w:style w:type="paragraph" w:styleId="List2">
    <w:name w:val="List 2"/>
    <w:basedOn w:val="BodyText"/>
    <w:rsid w:val="00EC4287"/>
    <w:pPr>
      <w:tabs>
        <w:tab w:val="left" w:pos="680"/>
      </w:tabs>
      <w:spacing w:before="60" w:after="60"/>
      <w:ind w:left="680" w:hanging="340"/>
    </w:pPr>
  </w:style>
  <w:style w:type="paragraph" w:styleId="List3">
    <w:name w:val="List 3"/>
    <w:basedOn w:val="BodyText"/>
    <w:rsid w:val="00EC4287"/>
    <w:pPr>
      <w:tabs>
        <w:tab w:val="left" w:pos="1021"/>
      </w:tabs>
      <w:spacing w:before="60" w:after="60"/>
      <w:ind w:left="1020" w:hanging="340"/>
    </w:pPr>
  </w:style>
  <w:style w:type="paragraph" w:styleId="List4">
    <w:name w:val="List 4"/>
    <w:basedOn w:val="BodyText"/>
    <w:rsid w:val="00EC4287"/>
    <w:pPr>
      <w:tabs>
        <w:tab w:val="left" w:pos="1361"/>
      </w:tabs>
      <w:spacing w:before="60" w:after="60"/>
      <w:ind w:left="1361" w:hanging="340"/>
    </w:pPr>
  </w:style>
  <w:style w:type="paragraph" w:styleId="List5">
    <w:name w:val="List 5"/>
    <w:basedOn w:val="BodyText"/>
    <w:rsid w:val="00EC4287"/>
    <w:pPr>
      <w:tabs>
        <w:tab w:val="left" w:pos="1701"/>
      </w:tabs>
      <w:spacing w:before="60" w:after="60"/>
      <w:ind w:left="1701" w:hanging="340"/>
    </w:pPr>
  </w:style>
  <w:style w:type="paragraph" w:styleId="ListBullet3">
    <w:name w:val="List Bullet 3"/>
    <w:basedOn w:val="List3"/>
    <w:rsid w:val="00EC4287"/>
    <w:pPr>
      <w:numPr>
        <w:numId w:val="14"/>
      </w:numPr>
      <w:tabs>
        <w:tab w:val="clear" w:pos="1021"/>
      </w:tabs>
      <w:ind w:left="1037" w:hanging="357"/>
    </w:pPr>
  </w:style>
  <w:style w:type="paragraph" w:styleId="ListBullet4">
    <w:name w:val="List Bullet 4"/>
    <w:basedOn w:val="List4"/>
    <w:rsid w:val="00EC4287"/>
    <w:pPr>
      <w:numPr>
        <w:numId w:val="3"/>
      </w:numPr>
      <w:tabs>
        <w:tab w:val="clear" w:pos="1361"/>
      </w:tabs>
    </w:pPr>
  </w:style>
  <w:style w:type="paragraph" w:styleId="ListBullet5">
    <w:name w:val="List Bullet 5"/>
    <w:basedOn w:val="List5"/>
    <w:rsid w:val="00EC4287"/>
    <w:pPr>
      <w:numPr>
        <w:numId w:val="4"/>
      </w:numPr>
    </w:pPr>
  </w:style>
  <w:style w:type="paragraph" w:styleId="ListContinue2">
    <w:name w:val="List Continue 2"/>
    <w:basedOn w:val="List2"/>
    <w:rsid w:val="00EC4287"/>
    <w:pPr>
      <w:ind w:firstLine="0"/>
    </w:pPr>
  </w:style>
  <w:style w:type="paragraph" w:styleId="ListContinue3">
    <w:name w:val="List Continue 3"/>
    <w:basedOn w:val="List3"/>
    <w:rsid w:val="00EC4287"/>
    <w:pPr>
      <w:ind w:left="1021" w:firstLine="0"/>
    </w:pPr>
  </w:style>
  <w:style w:type="paragraph" w:styleId="ListContinue4">
    <w:name w:val="List Continue 4"/>
    <w:basedOn w:val="List4"/>
    <w:rsid w:val="00EC4287"/>
    <w:pPr>
      <w:ind w:firstLine="0"/>
    </w:pPr>
  </w:style>
  <w:style w:type="paragraph" w:styleId="ListContinue5">
    <w:name w:val="List Continue 5"/>
    <w:basedOn w:val="List5"/>
    <w:rsid w:val="00EC4287"/>
    <w:pPr>
      <w:ind w:firstLine="0"/>
    </w:pPr>
  </w:style>
  <w:style w:type="paragraph" w:styleId="ListNumber3">
    <w:name w:val="List Number 3"/>
    <w:basedOn w:val="List3"/>
    <w:rsid w:val="00EC4287"/>
    <w:pPr>
      <w:numPr>
        <w:numId w:val="5"/>
      </w:numPr>
    </w:pPr>
  </w:style>
  <w:style w:type="paragraph" w:styleId="ListNumber4">
    <w:name w:val="List Number 4"/>
    <w:basedOn w:val="List4"/>
    <w:rsid w:val="00EC4287"/>
    <w:pPr>
      <w:numPr>
        <w:numId w:val="6"/>
      </w:numPr>
    </w:pPr>
  </w:style>
  <w:style w:type="paragraph" w:styleId="ListNumber5">
    <w:name w:val="List Number 5"/>
    <w:basedOn w:val="List5"/>
    <w:rsid w:val="00EC4287"/>
    <w:pPr>
      <w:numPr>
        <w:numId w:val="7"/>
      </w:numPr>
    </w:pPr>
  </w:style>
  <w:style w:type="paragraph" w:styleId="BlockText">
    <w:name w:val="Block Text"/>
    <w:basedOn w:val="Normal"/>
    <w:rsid w:val="00EC4287"/>
    <w:pPr>
      <w:spacing w:after="120"/>
      <w:ind w:left="1440" w:right="1440"/>
    </w:pPr>
  </w:style>
  <w:style w:type="character" w:customStyle="1" w:styleId="Subscript">
    <w:name w:val="Subscript"/>
    <w:basedOn w:val="DefaultParagraphFont"/>
    <w:rsid w:val="00EC4287"/>
    <w:rPr>
      <w:sz w:val="16"/>
      <w:vertAlign w:val="subscript"/>
    </w:rPr>
  </w:style>
  <w:style w:type="character" w:customStyle="1" w:styleId="Superscript">
    <w:name w:val="Superscript"/>
    <w:basedOn w:val="DefaultParagraphFont"/>
    <w:rsid w:val="00EC4287"/>
    <w:rPr>
      <w:sz w:val="16"/>
      <w:vertAlign w:val="superscript"/>
    </w:rPr>
  </w:style>
  <w:style w:type="character" w:customStyle="1" w:styleId="Symbols">
    <w:name w:val="Symbols"/>
    <w:basedOn w:val="DefaultParagraphFont"/>
    <w:rsid w:val="00EC4287"/>
    <w:rPr>
      <w:rFonts w:ascii="Symbol" w:hAnsi="Symbol"/>
    </w:rPr>
  </w:style>
  <w:style w:type="character" w:customStyle="1" w:styleId="MenuOptions">
    <w:name w:val="Menu Options"/>
    <w:basedOn w:val="DefaultParagraphFont"/>
    <w:rsid w:val="00EC4287"/>
    <w:rPr>
      <w:rFonts w:ascii="Arial Narrow" w:hAnsi="Arial Narrow"/>
      <w:smallCaps/>
    </w:rPr>
  </w:style>
  <w:style w:type="character" w:customStyle="1" w:styleId="Buttons">
    <w:name w:val="Buttons"/>
    <w:basedOn w:val="DefaultParagraphFont"/>
    <w:rsid w:val="00EC4287"/>
    <w:rPr>
      <w:b/>
    </w:rPr>
  </w:style>
  <w:style w:type="character" w:customStyle="1" w:styleId="Underlined">
    <w:name w:val="Underlined"/>
    <w:basedOn w:val="DefaultParagraphFont"/>
    <w:rsid w:val="00EC4287"/>
    <w:rPr>
      <w:u w:val="single"/>
    </w:rPr>
  </w:style>
  <w:style w:type="paragraph" w:customStyle="1" w:styleId="TableBodyTextRight">
    <w:name w:val="Table Body Text Right"/>
    <w:basedOn w:val="TableBodyText"/>
    <w:rsid w:val="00EC4287"/>
    <w:pPr>
      <w:widowControl w:val="0"/>
      <w:autoSpaceDE w:val="0"/>
      <w:autoSpaceDN w:val="0"/>
      <w:adjustRightInd w:val="0"/>
      <w:jc w:val="right"/>
    </w:pPr>
    <w:rPr>
      <w:rFonts w:cs="Arial"/>
      <w:szCs w:val="18"/>
    </w:rPr>
  </w:style>
  <w:style w:type="paragraph" w:customStyle="1" w:styleId="CopyrightText">
    <w:name w:val="Copyright Text"/>
    <w:basedOn w:val="BodyText"/>
    <w:rsid w:val="00EC4287"/>
    <w:rPr>
      <w:sz w:val="18"/>
    </w:rPr>
  </w:style>
  <w:style w:type="paragraph" w:customStyle="1" w:styleId="BodySmallRight">
    <w:name w:val="Body Small Right"/>
    <w:basedOn w:val="BodyTextRight"/>
    <w:rsid w:val="00EC4287"/>
    <w:rPr>
      <w:sz w:val="18"/>
      <w:szCs w:val="18"/>
    </w:rPr>
  </w:style>
  <w:style w:type="paragraph" w:customStyle="1" w:styleId="MarginEdition">
    <w:name w:val="Margin Edition"/>
    <w:basedOn w:val="MarginNote"/>
    <w:rsid w:val="00EC4287"/>
    <w:pPr>
      <w:spacing w:before="0" w:after="0"/>
    </w:pPr>
    <w:rPr>
      <w:rFonts w:ascii="Times New Roman" w:hAnsi="Times New Roman"/>
      <w:color w:val="999999"/>
    </w:rPr>
  </w:style>
  <w:style w:type="paragraph" w:customStyle="1" w:styleId="Spacer">
    <w:name w:val="Spacer"/>
    <w:basedOn w:val="Normal"/>
    <w:rsid w:val="00EC4287"/>
    <w:rPr>
      <w:sz w:val="2"/>
      <w:szCs w:val="2"/>
    </w:rPr>
  </w:style>
  <w:style w:type="character" w:customStyle="1" w:styleId="Small">
    <w:name w:val="Small"/>
    <w:basedOn w:val="DefaultParagraphFont"/>
    <w:rsid w:val="00EC4287"/>
    <w:rPr>
      <w:sz w:val="16"/>
    </w:rPr>
  </w:style>
  <w:style w:type="paragraph" w:customStyle="1" w:styleId="WideTable">
    <w:name w:val="Wide Table"/>
    <w:basedOn w:val="Normal"/>
    <w:rsid w:val="00EC4287"/>
    <w:pPr>
      <w:ind w:left="-1418"/>
    </w:pPr>
    <w:rPr>
      <w:sz w:val="2"/>
      <w:szCs w:val="2"/>
    </w:rPr>
  </w:style>
  <w:style w:type="character" w:styleId="PageNumber">
    <w:name w:val="page number"/>
    <w:basedOn w:val="DefaultParagraphFont"/>
    <w:rsid w:val="00EC4287"/>
  </w:style>
  <w:style w:type="paragraph" w:styleId="Quote">
    <w:name w:val="Quote"/>
    <w:basedOn w:val="Heading1"/>
    <w:link w:val="QuoteChar"/>
    <w:qFormat/>
    <w:rsid w:val="00EC4287"/>
    <w:rPr>
      <w:b w:val="0"/>
      <w:sz w:val="72"/>
      <w:szCs w:val="72"/>
      <w:lang w:val="en-NZ"/>
    </w:rPr>
  </w:style>
  <w:style w:type="character" w:customStyle="1" w:styleId="QuoteChar">
    <w:name w:val="Quote Char"/>
    <w:basedOn w:val="DefaultParagraphFont"/>
    <w:link w:val="Quote"/>
    <w:rsid w:val="00EC4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287"/>
    <w:pPr>
      <w:pageBreakBefore/>
    </w:pPr>
  </w:style>
  <w:style w:type="paragraph" w:customStyle="1" w:styleId="Border">
    <w:name w:val="Border"/>
    <w:basedOn w:val="Normal"/>
    <w:qFormat/>
    <w:rsid w:val="00EC4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287"/>
    <w:rPr>
      <w:b/>
      <w:bCs/>
      <w:i/>
      <w:iCs/>
      <w:color w:val="auto"/>
    </w:rPr>
  </w:style>
  <w:style w:type="paragraph" w:styleId="IntenseQuote">
    <w:name w:val="Intense Quote"/>
    <w:basedOn w:val="Normal"/>
    <w:next w:val="Normal"/>
    <w:link w:val="IntenseQuoteChar"/>
    <w:uiPriority w:val="30"/>
    <w:qFormat/>
    <w:rsid w:val="00EC4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287"/>
    <w:rPr>
      <w:smallCaps/>
      <w:color w:val="auto"/>
      <w:u w:val="single"/>
    </w:rPr>
  </w:style>
  <w:style w:type="character" w:styleId="IntenseReference">
    <w:name w:val="Intense Reference"/>
    <w:basedOn w:val="DefaultParagraphFont"/>
    <w:uiPriority w:val="32"/>
    <w:qFormat/>
    <w:rsid w:val="00EC4287"/>
    <w:rPr>
      <w:b/>
      <w:bCs/>
      <w:smallCaps/>
      <w:color w:val="auto"/>
      <w:spacing w:val="5"/>
      <w:u w:val="single"/>
    </w:rPr>
  </w:style>
  <w:style w:type="paragraph" w:customStyle="1" w:styleId="2ColumnHeading">
    <w:name w:val="2Column Heading"/>
    <w:basedOn w:val="BodyText"/>
    <w:qFormat/>
    <w:rsid w:val="00EC4287"/>
    <w:pPr>
      <w:spacing w:after="60"/>
      <w:ind w:left="-2268"/>
    </w:pPr>
    <w:rPr>
      <w:b/>
    </w:rPr>
  </w:style>
  <w:style w:type="paragraph" w:customStyle="1" w:styleId="Heading1TOC">
    <w:name w:val="Heading1 TOC"/>
    <w:basedOn w:val="Normal"/>
    <w:qFormat/>
    <w:rsid w:val="00EC4287"/>
    <w:pPr>
      <w:spacing w:before="240" w:after="120"/>
    </w:pPr>
    <w:rPr>
      <w:rFonts w:ascii="Times New Roman" w:hAnsi="Times New Roman"/>
      <w:b/>
      <w:sz w:val="32"/>
    </w:rPr>
  </w:style>
  <w:style w:type="paragraph" w:customStyle="1" w:styleId="Heading2TOC">
    <w:name w:val="Heading2 TOC"/>
    <w:basedOn w:val="Normal"/>
    <w:qFormat/>
    <w:rsid w:val="00EC4287"/>
    <w:pPr>
      <w:spacing w:before="240" w:after="60"/>
    </w:pPr>
    <w:rPr>
      <w:rFonts w:ascii="Times New Roman" w:hAnsi="Times New Roman"/>
      <w:b/>
      <w:sz w:val="28"/>
    </w:rPr>
  </w:style>
  <w:style w:type="character" w:customStyle="1" w:styleId="Underline">
    <w:name w:val="Underline"/>
    <w:basedOn w:val="DefaultParagraphFont"/>
    <w:qFormat/>
    <w:rsid w:val="00EC4287"/>
    <w:rPr>
      <w:u w:val="single"/>
    </w:rPr>
  </w:style>
  <w:style w:type="character" w:customStyle="1" w:styleId="BoldandItalics">
    <w:name w:val="Bold and Italics"/>
    <w:qFormat/>
    <w:rsid w:val="00EC4287"/>
    <w:rPr>
      <w:b/>
      <w:i/>
      <w:u w:val="none"/>
    </w:rPr>
  </w:style>
  <w:style w:type="paragraph" w:styleId="BalloonText">
    <w:name w:val="Balloon Text"/>
    <w:basedOn w:val="Normal"/>
    <w:link w:val="BalloonTextChar"/>
    <w:rsid w:val="00EC4287"/>
    <w:rPr>
      <w:rFonts w:ascii="Tahoma" w:hAnsi="Tahoma" w:cs="Tahoma"/>
      <w:sz w:val="16"/>
      <w:szCs w:val="16"/>
    </w:rPr>
  </w:style>
  <w:style w:type="character" w:customStyle="1" w:styleId="BalloonTextChar">
    <w:name w:val="Balloon Text Char"/>
    <w:basedOn w:val="DefaultParagraphFont"/>
    <w:link w:val="BalloonText"/>
    <w:rsid w:val="00EC4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2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287"/>
    <w:rPr>
      <w:b/>
      <w:color w:val="660033"/>
      <w:spacing w:val="0"/>
    </w:rPr>
  </w:style>
  <w:style w:type="paragraph" w:customStyle="1" w:styleId="Nameditemlist">
    <w:name w:val="Named item list"/>
    <w:basedOn w:val="BodyText"/>
    <w:qFormat/>
    <w:rsid w:val="00EC4287"/>
    <w:pPr>
      <w:tabs>
        <w:tab w:val="left" w:pos="2835"/>
      </w:tabs>
      <w:ind w:left="2835" w:hanging="2835"/>
    </w:pPr>
  </w:style>
  <w:style w:type="paragraph" w:customStyle="1" w:styleId="BodyTextnopadding">
    <w:name w:val="Body Text no padding"/>
    <w:basedOn w:val="BodyText"/>
    <w:qFormat/>
    <w:rsid w:val="00EC4287"/>
    <w:pPr>
      <w:spacing w:before="0" w:after="0"/>
    </w:pPr>
  </w:style>
  <w:style w:type="paragraph" w:customStyle="1" w:styleId="BodyTextBold">
    <w:name w:val="Body Text Bold"/>
    <w:basedOn w:val="BodyText"/>
    <w:qFormat/>
    <w:rsid w:val="00EC4287"/>
    <w:rPr>
      <w:b/>
    </w:rPr>
  </w:style>
  <w:style w:type="character" w:styleId="Hyperlink">
    <w:name w:val="Hyperlink"/>
    <w:basedOn w:val="DefaultParagraphFont"/>
    <w:uiPriority w:val="99"/>
    <w:unhideWhenUsed/>
    <w:rsid w:val="00DF6C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1661</Words>
  <Characters>11200</Characters>
  <Application>Microsoft Office Word</Application>
  <DocSecurity>0</DocSecurity>
  <Lines>361</Lines>
  <Paragraphs>176</Paragraphs>
  <ScaleCrop>false</ScaleCrop>
  <Company>Author-it Software Corporation Ltd.</Company>
  <LinksUpToDate>false</LinksUpToDate>
  <CharactersWithSpaces>12685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UETTDRTS35 Maintain complex network protection and control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2025-03-01T19:54:00Z</dcterms:created>
  <dcterms:modified xsi:type="dcterms:W3CDTF">2025-03-01T19:54:00Z</dcterms:modified>
</cp:coreProperties>
</file>