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C82" w:rsidP="00DE6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UETTDRTS30 Design power systems secondary isolation instructional documents</w:t>
      </w:r>
      <w:r>
        <w:fldChar w:fldCharType="end"/>
      </w:r>
    </w:p>
    <w:p w:rsidR="00DE6C82" w:rsidP="00DE6C82">
      <w:pPr>
        <w:pStyle w:val="Version"/>
        <w:sectPr w:rsidSect="00683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CBE" w:rsidP="00683CBE">
      <w:pPr>
        <w:pStyle w:val="SuperHeading"/>
      </w:pPr>
      <w:r w:rsidRPr="00683CBE">
        <w:t>UETTDRTS30 Design power systems secondary isolation instructional documents</w:t>
      </w:r>
    </w:p>
    <w:p w:rsidR="00000000" w:rsidRPr="00683CBE" w:rsidP="00683CBE">
      <w:pPr>
        <w:pStyle w:val="Heading1"/>
      </w:pPr>
      <w:bookmarkStart w:id="1" w:name="O_1005613"/>
      <w:bookmarkEnd w:id="1"/>
      <w:r w:rsidRPr="00683C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2" w:name="O_1005614"/>
      <w:bookmarkEnd w:id="2"/>
      <w:r w:rsidRPr="00683C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 xml:space="preserve">This unit covers the skills needed to design secondary isolations. This will involve analysis of tripping and a thorough understanding of secondary voltage and current, direct current (d.c.), alarm, metering and communication </w:t>
            </w:r>
            <w:r w:rsidRPr="00683CBE">
              <w:t>circuits. It also involves accurate communication of this information in a format acceptable to the operating or testing authority.</w:t>
            </w:r>
          </w:p>
          <w:p w:rsidR="00000000" w:rsidRPr="00683CBE" w:rsidP="00683CBE">
            <w:pPr>
              <w:pStyle w:val="BodyText"/>
            </w:pPr>
            <w:r w:rsidRPr="00683CBE">
              <w:t>The application of the skills and knowledge described in this unit may require a licence/registration to practice in the wor</w:t>
            </w:r>
            <w:r w:rsidRPr="00683CBE">
              <w:t xml:space="preserve">kplace subject to regulations for undertaking of electrical work.  </w:t>
            </w:r>
          </w:p>
          <w:p w:rsidR="00000000" w:rsidRPr="00683CBE" w:rsidP="00683CBE">
            <w:pPr>
              <w:pStyle w:val="BodyText"/>
            </w:pPr>
            <w:r w:rsidRPr="00683CBE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3" w:name="O_1005615"/>
      <w:bookmarkEnd w:id="3"/>
      <w:r w:rsidRPr="00683CBE">
        <w:t>Pre-requi</w:t>
      </w:r>
      <w:r w:rsidRPr="00683CBE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Common Unit Group</w:t>
            </w:r>
          </w:p>
          <w:p w:rsidR="00000000" w:rsidRPr="00683CBE" w:rsidP="00683CBE">
            <w:pPr>
              <w:pStyle w:val="BodyText"/>
            </w:pPr>
            <w:r w:rsidRPr="00683CBE">
              <w:t>UEENEED104A Use engineering applications software on personal computers</w:t>
            </w:r>
          </w:p>
          <w:p w:rsidR="00000000" w:rsidRPr="00683CBE" w:rsidP="00683CBE">
            <w:pPr>
              <w:pStyle w:val="BodyText"/>
            </w:pPr>
            <w:r w:rsidRPr="00683CBE">
              <w:t>UEENEEE101A Apply Occupational Health and Safety regulations, codes and practices in the workplace</w:t>
            </w:r>
          </w:p>
          <w:p w:rsidR="00000000" w:rsidRPr="00683CBE" w:rsidP="00683CBE">
            <w:pPr>
              <w:pStyle w:val="BodyText"/>
            </w:pPr>
            <w:r w:rsidRPr="00683CBE">
              <w:t>UEENEEE102A Fabricate, assemble and dismantle utilities i</w:t>
            </w:r>
            <w:r w:rsidRPr="00683CBE">
              <w:t>ndustry components</w:t>
            </w:r>
          </w:p>
          <w:p w:rsidR="00000000" w:rsidRPr="00683CBE" w:rsidP="00683CBE">
            <w:pPr>
              <w:pStyle w:val="BodyText"/>
            </w:pPr>
            <w:r w:rsidRPr="00683CBE">
              <w:t>UEENEEE104A Solve problems in d.c. circuits</w:t>
            </w:r>
          </w:p>
          <w:p w:rsidR="00000000" w:rsidRPr="00683CBE" w:rsidP="00683CBE">
            <w:pPr>
              <w:pStyle w:val="BodyText"/>
            </w:pPr>
            <w:r w:rsidRPr="00683CBE">
              <w:t>UEENEEE107A Use drawings, diagrams, schedules, standards, codes and specifications</w:t>
            </w:r>
          </w:p>
          <w:p w:rsidR="00000000" w:rsidRPr="00683CBE" w:rsidP="00683CBE">
            <w:pPr>
              <w:pStyle w:val="BodyText"/>
            </w:pPr>
            <w:r w:rsidRPr="00683CBE">
              <w:t>UEENEEE124A Compile and produce an energy sector detailed report</w:t>
            </w:r>
          </w:p>
          <w:p w:rsidR="00000000" w:rsidRPr="00683CBE" w:rsidP="00683CBE">
            <w:pPr>
              <w:pStyle w:val="BodyText"/>
            </w:pPr>
            <w:r w:rsidRPr="00683CBE">
              <w:t>UEENEEE125A Provide engineering solutions for</w:t>
            </w:r>
            <w:r w:rsidRPr="00683CBE">
              <w:t xml:space="preserve"> problems in complex multiple path circuits</w:t>
            </w:r>
          </w:p>
          <w:p w:rsidR="00000000" w:rsidRPr="00683CBE" w:rsidP="00683CBE">
            <w:pPr>
              <w:pStyle w:val="BodyText"/>
            </w:pPr>
            <w:r w:rsidRPr="00683CBE">
              <w:t>UEENEEE126A Provide solutions to basic engineering computational problems</w:t>
            </w:r>
          </w:p>
          <w:p w:rsidR="00000000" w:rsidRPr="00683CBE" w:rsidP="00683CBE">
            <w:pPr>
              <w:pStyle w:val="BodyText"/>
            </w:pPr>
            <w:r w:rsidRPr="00683CBE">
              <w:t>UEENEEG101A Solve problems in electromagnetic devices and related circuits</w:t>
            </w:r>
          </w:p>
          <w:p w:rsidR="00000000" w:rsidRPr="00683CBE" w:rsidP="00683CBE">
            <w:pPr>
              <w:pStyle w:val="BodyText"/>
            </w:pPr>
            <w:r w:rsidRPr="00683CBE">
              <w:t>UEENEEG102A Solve problems in low voltage a.c. circuits</w:t>
            </w:r>
          </w:p>
          <w:p w:rsidR="00000000" w:rsidRPr="00683CBE" w:rsidP="00683CBE">
            <w:pPr>
              <w:pStyle w:val="BodyText"/>
            </w:pPr>
            <w:r w:rsidRPr="00683CBE">
              <w:t>UEENEEG149A Provide engineering solutions to problems in complex polyphase power circuits</w:t>
            </w:r>
          </w:p>
          <w:p w:rsidR="00000000" w:rsidRPr="00683CBE" w:rsidP="00683CBE">
            <w:pPr>
              <w:pStyle w:val="BodyText"/>
            </w:pPr>
            <w:r w:rsidRPr="00683CBE">
              <w:t>UETTDREL11 Apply sustainable energy and environmental procedures</w:t>
            </w:r>
          </w:p>
          <w:p w:rsidR="00000000" w:rsidRPr="00683CBE" w:rsidP="00683CBE">
            <w:pPr>
              <w:pStyle w:val="BodyText"/>
            </w:pPr>
            <w:r w:rsidRPr="00683CBE">
              <w:t>UETTDREL16 Working safely near live electrical apparatus</w:t>
            </w:r>
          </w:p>
          <w:p w:rsidR="00000000" w:rsidRPr="00683CBE" w:rsidP="00683CBE">
            <w:pPr>
              <w:pStyle w:val="BodyText"/>
            </w:pPr>
            <w:r w:rsidRPr="00683CBE">
              <w:t>UETTDRIS62 Implement and monitor the power s</w:t>
            </w:r>
            <w:r w:rsidRPr="00683CBE">
              <w:t xml:space="preserve">ystem organisational WHS/OHS policies, </w:t>
            </w:r>
            <w:r w:rsidRPr="00683CBE">
              <w:t>procedures and programs</w:t>
            </w:r>
          </w:p>
          <w:p w:rsidR="00000000" w:rsidRPr="00683CBE" w:rsidP="00683CBE">
            <w:pPr>
              <w:pStyle w:val="BodyText"/>
            </w:pPr>
            <w:r w:rsidRPr="00683CBE">
              <w:t>UETTDRIS63 Implement &amp; monitor power system environmental &amp; sustainable energy management policies &amp; procedures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4" w:name="O_1005616"/>
      <w:bookmarkEnd w:id="4"/>
      <w:r w:rsidRPr="00683C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Testing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5" w:name="O_1005617"/>
      <w:bookmarkEnd w:id="5"/>
      <w:r w:rsidRPr="00683C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No</w:t>
            </w:r>
            <w:r w:rsidRPr="00683CBE">
              <w:t>t applicable.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6" w:name="O_1005618"/>
      <w:bookmarkEnd w:id="6"/>
      <w:r w:rsidRPr="00683C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PERFORMANCE CRITERIA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Performance criteria describe the performance needed to demonstrate achievement of the element.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>Plan for the design of secondary isolation instructional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Work health and safety (WHS)/occupational health and safety (OHS) practices/procedures and environmental and sustainable energy procedures, which may influence the design of secondary i</w:t>
            </w:r>
            <w:r w:rsidRPr="00683CBE">
              <w:t>solation instructional documents, are reviewed and determined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Purpose of the design of secondary isolation instructional documents is established after data is analysed and expected outcomes of the work are confirmed with appropriate personnel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Organisational established procedures on policies and specifications for the design of secondary isolation instructional documents are obtained or established with appropriate personnel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Testing procedures are discussed with/directed to appropria</w:t>
            </w:r>
            <w:r w:rsidRPr="00683CBE">
              <w:t>te personnel in order to ascertain the project brief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Testing parameters are established from organisational established procedures and policies and specifications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Equipment/tools and personal protective equipment (PPE) are selected based on s</w:t>
            </w:r>
            <w:r w:rsidRPr="00683CBE">
              <w:t>pecified performance criteria and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Work roles and tasks are allocated according to requirements and individual competencies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 xml:space="preserve">Work is prioritised and sequenced </w:t>
            </w:r>
            <w:r w:rsidRPr="00683CBE">
              <w:t>for the most efficient/effective outcome, completed within an acceptable timeframe, to a quality standard and in accordance with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 xml:space="preserve">Liaison and communication issues with others/authorised personnel, authorities, clients and land </w:t>
            </w:r>
            <w:r w:rsidRPr="00683CBE">
              <w:t>owners are resolved and activities coordinated to carry out work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Risk control measures are identified, prioritised and evaluated against the work schedule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Relevant work permits are secured to coordinate the performance of work according to requirements and/or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>Carry out the design of secondary isolation instructional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Circuit/systems modelling is used to evaluate alternative proposals in accordance with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WHS/OHS and sustainable energy principles, functionality and practices to reduce the incidents of accidents and minimise waste are incorpor</w:t>
            </w:r>
            <w:r w:rsidRPr="00683CBE">
              <w:t>ated into the project in accordance with requirements and/or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Design of secondary isolation instructional document decisions are made on the basis of safety and effective outcomes according to requirements and/or established pr</w:t>
            </w:r>
            <w:r w:rsidRPr="00683CBE">
              <w:t>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Mathematical and/or engineering models of the design of secondary isolation instructional documents are used to analyse the effectiveness of the finished project in accordance with requirements and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683CBE">
              <w:t xml:space="preserve">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Testing of the d</w:t>
            </w:r>
            <w:r w:rsidRPr="00683CBE">
              <w:t>esign of secondary isolation instructional documents is undertaken according to requirements and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Work teams/groups are arranged/coordinated/evaluated to ensure planned goals are met according to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Solutions to non-routine problems are identified and actioned, using acquired essential knowledge and associated skills, according to requirements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Quality of work is monitored against personal performance agreement and/or established organisational</w:t>
            </w:r>
            <w:r w:rsidRPr="00683CBE">
              <w:t xml:space="preserve"> and professional standards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Strategic plans are developed incorporating organisation initiatives in accordance with established procedures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rPr>
                <w:rStyle w:val="SpecialBold"/>
              </w:rPr>
              <w:t>Complete the design of secondary isolation instructional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 xml:space="preserve">Final inspections of the design of </w:t>
            </w:r>
            <w:r w:rsidRPr="00683CBE">
              <w:t>secondary isolation instructional documents are undertaken to ensure they comply with all requirements and include all specifications and documentations needed to complete the project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Appropriate personnel are notified of completion and reports and/or completion documents are finalised/commissioned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t>Reports and/or completion documents are submitted to relevant personnel/organisations for approval and, where applicable, statutory o</w:t>
            </w:r>
            <w:r w:rsidRPr="00683CBE">
              <w:t>r regulatory approval</w:t>
            </w:r>
          </w:p>
        </w:tc>
      </w:tr>
      <w:tr w:rsidTr="00683C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CBE">
            <w:pPr>
              <w:pStyle w:val="BodyText"/>
              <w:rPr>
                <w:lang w:val="en-NZ"/>
              </w:rPr>
            </w:pPr>
            <w:r w:rsidRPr="00683C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Approved copies of the design of secondary isolation instructional documents are issued and records are updated in accordance with established procedures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7" w:name="O_1005619"/>
      <w:bookmarkEnd w:id="7"/>
      <w:r w:rsidRPr="00683C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Foundation skills essential to per</w:t>
            </w:r>
            <w:r w:rsidRPr="00683CBE">
              <w:t>formance are explicit in the performance criteria of this unit of competency.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8" w:name="O_1005620"/>
      <w:bookmarkEnd w:id="8"/>
      <w:r w:rsidRPr="00683C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Range is restricted to essential operating conditions and any other variables essential to the work environment.</w:t>
            </w:r>
          </w:p>
          <w:p w:rsidR="00000000" w:rsidRPr="00683CBE" w:rsidP="00683CBE">
            <w:pPr>
              <w:pStyle w:val="BodyText"/>
            </w:pPr>
            <w:r w:rsidRPr="00683CBE">
              <w:t>Non-essential conditions may be found in the Companion Volume Implementation Guide.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9" w:name="O_1005621"/>
      <w:bookmarkEnd w:id="9"/>
      <w:r w:rsidRPr="00683C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3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CBE" w:rsidP="00683CBE">
            <w:pPr>
              <w:pStyle w:val="BodyText"/>
            </w:pPr>
            <w:r w:rsidRPr="00683CBE">
              <w:t>This unit replaces and is equivalent to UETTDRTS30A Design power systems secondary isolation instructional documents.</w:t>
            </w:r>
          </w:p>
        </w:tc>
      </w:tr>
    </w:tbl>
    <w:p w:rsidR="00000000" w:rsidRPr="00683CBE" w:rsidP="00683CBE">
      <w:pPr>
        <w:pStyle w:val="NoPaddingFontSize1"/>
      </w:pPr>
    </w:p>
    <w:p w:rsidR="00000000" w:rsidRPr="00683CBE" w:rsidP="00683CBE">
      <w:pPr>
        <w:pStyle w:val="AllowPageBreak"/>
      </w:pPr>
    </w:p>
    <w:p w:rsidR="00000000" w:rsidRPr="00683CBE" w:rsidP="00683CBE">
      <w:pPr>
        <w:pStyle w:val="Heading1"/>
      </w:pPr>
      <w:bookmarkStart w:id="10" w:name="O_1005628"/>
      <w:bookmarkEnd w:id="10"/>
      <w:r w:rsidRPr="00683CBE">
        <w:t>Links</w:t>
      </w:r>
    </w:p>
    <w:p w:rsidR="00000000" w:rsidRPr="00683CBE" w:rsidP="00DE6C82">
      <w:pPr>
        <w:pStyle w:val="BodyText"/>
      </w:pPr>
      <w:r w:rsidRPr="00683CB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6D4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83CBE" w:rsidP="00683CBE"/>
    <w:sectPr w:rsidSect="00683C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BE" w:rsidRPr="00DE6C82" w:rsidP="00DE6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82" w:rsidP="00683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6C82" w:rsidP="00683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6C82" w:rsidP="00683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CBE" w:rsidRPr="00DE6C82" w:rsidP="00DE6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82" w:rsidRPr="002D2AF8" w:rsidP="00683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UETTDRTS30 Design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E6C82" w:rsidP="00683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CBE"/>
  </w:style>
  <w:style w:type="character" w:customStyle="1" w:styleId="Heading1Char">
    <w:name w:val="Heading 1 Char"/>
    <w:basedOn w:val="DefaultParagraphFont"/>
    <w:link w:val="Heading1"/>
    <w:rsid w:val="00683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C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C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3CBE"/>
    <w:rPr>
      <w:b/>
      <w:spacing w:val="0"/>
    </w:rPr>
  </w:style>
  <w:style w:type="paragraph" w:customStyle="1" w:styleId="SuperHeading">
    <w:name w:val="SuperHeading"/>
    <w:basedOn w:val="Normal"/>
    <w:rsid w:val="00683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3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C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C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3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C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C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CBE"/>
    <w:rPr>
      <w:i/>
    </w:rPr>
  </w:style>
  <w:style w:type="paragraph" w:styleId="Caption">
    <w:name w:val="caption"/>
    <w:basedOn w:val="BodyText"/>
    <w:next w:val="Normal"/>
    <w:qFormat/>
    <w:rsid w:val="00683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CBE"/>
  </w:style>
  <w:style w:type="paragraph" w:styleId="TableofFigures">
    <w:name w:val="table of figures"/>
    <w:basedOn w:val="Normal"/>
    <w:next w:val="Normal"/>
    <w:semiHidden/>
    <w:rsid w:val="00683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C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3CBE"/>
    <w:rPr>
      <w:rFonts w:ascii="Wingdings" w:hAnsi="Wingdings"/>
    </w:rPr>
  </w:style>
  <w:style w:type="paragraph" w:customStyle="1" w:styleId="TableHeading">
    <w:name w:val="Table Heading"/>
    <w:basedOn w:val="HeadingBase"/>
    <w:rsid w:val="00683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CBE"/>
    <w:rPr>
      <w:color w:val="0033CC"/>
      <w:u w:val="none"/>
    </w:rPr>
  </w:style>
  <w:style w:type="paragraph" w:customStyle="1" w:styleId="BodyTextRight">
    <w:name w:val="Body Text Right"/>
    <w:basedOn w:val="BodyText"/>
    <w:rsid w:val="00683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C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CBE"/>
    <w:rPr>
      <w:sz w:val="32"/>
    </w:rPr>
  </w:style>
  <w:style w:type="paragraph" w:customStyle="1" w:styleId="HeadingProcedure">
    <w:name w:val="Heading Procedure"/>
    <w:basedOn w:val="HeadingBase"/>
    <w:next w:val="Normal"/>
    <w:rsid w:val="00683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CBE"/>
    <w:pPr>
      <w:spacing w:before="60" w:after="60"/>
    </w:pPr>
  </w:style>
  <w:style w:type="paragraph" w:styleId="ListContinue">
    <w:name w:val="List Continue"/>
    <w:basedOn w:val="List"/>
    <w:rsid w:val="00683CBE"/>
    <w:pPr>
      <w:ind w:firstLine="0"/>
    </w:pPr>
  </w:style>
  <w:style w:type="paragraph" w:customStyle="1" w:styleId="ListNote">
    <w:name w:val="List Note"/>
    <w:basedOn w:val="List"/>
    <w:rsid w:val="00683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CBE"/>
    <w:rPr>
      <w:rFonts w:ascii="Courier New" w:hAnsi="Courier New"/>
    </w:rPr>
  </w:style>
  <w:style w:type="paragraph" w:customStyle="1" w:styleId="NoteBullet">
    <w:name w:val="Note Bullet"/>
    <w:basedOn w:val="Note"/>
    <w:rsid w:val="00683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C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3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CBE"/>
    <w:rPr>
      <w:b/>
      <w:smallCaps/>
    </w:rPr>
  </w:style>
  <w:style w:type="paragraph" w:customStyle="1" w:styleId="TableListNumber">
    <w:name w:val="Table List Number"/>
    <w:basedOn w:val="ListNumber"/>
    <w:rsid w:val="00683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CBE"/>
    <w:pPr>
      <w:numPr>
        <w:numId w:val="7"/>
      </w:numPr>
    </w:pPr>
  </w:style>
  <w:style w:type="paragraph" w:customStyle="1" w:styleId="ListAlpha2">
    <w:name w:val="List Alpha 2"/>
    <w:basedOn w:val="List2"/>
    <w:rsid w:val="00683CBE"/>
    <w:pPr>
      <w:numPr>
        <w:numId w:val="6"/>
      </w:numPr>
    </w:pPr>
  </w:style>
  <w:style w:type="paragraph" w:styleId="List2">
    <w:name w:val="List 2"/>
    <w:basedOn w:val="BodyText"/>
    <w:rsid w:val="00683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C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C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3CBE"/>
    <w:pPr>
      <w:numPr>
        <w:numId w:val="2"/>
      </w:numPr>
    </w:pPr>
  </w:style>
  <w:style w:type="paragraph" w:styleId="ListContinue2">
    <w:name w:val="List Continue 2"/>
    <w:basedOn w:val="List2"/>
    <w:rsid w:val="00683CBE"/>
    <w:pPr>
      <w:ind w:firstLine="0"/>
    </w:pPr>
  </w:style>
  <w:style w:type="paragraph" w:styleId="ListContinue3">
    <w:name w:val="List Continue 3"/>
    <w:basedOn w:val="List3"/>
    <w:rsid w:val="00683CBE"/>
    <w:pPr>
      <w:ind w:left="1021" w:firstLine="0"/>
    </w:pPr>
  </w:style>
  <w:style w:type="paragraph" w:styleId="ListContinue4">
    <w:name w:val="List Continue 4"/>
    <w:basedOn w:val="List4"/>
    <w:rsid w:val="00683CBE"/>
    <w:pPr>
      <w:ind w:firstLine="0"/>
    </w:pPr>
  </w:style>
  <w:style w:type="paragraph" w:styleId="ListContinue5">
    <w:name w:val="List Continue 5"/>
    <w:basedOn w:val="List5"/>
    <w:rsid w:val="00683CBE"/>
    <w:pPr>
      <w:ind w:firstLine="0"/>
    </w:pPr>
  </w:style>
  <w:style w:type="paragraph" w:styleId="ListNumber3">
    <w:name w:val="List Number 3"/>
    <w:basedOn w:val="List3"/>
    <w:rsid w:val="00683CBE"/>
    <w:pPr>
      <w:numPr>
        <w:numId w:val="3"/>
      </w:numPr>
    </w:pPr>
  </w:style>
  <w:style w:type="paragraph" w:styleId="ListNumber4">
    <w:name w:val="List Number 4"/>
    <w:basedOn w:val="List4"/>
    <w:rsid w:val="00683CBE"/>
    <w:pPr>
      <w:numPr>
        <w:numId w:val="4"/>
      </w:numPr>
    </w:pPr>
  </w:style>
  <w:style w:type="paragraph" w:styleId="ListNumber5">
    <w:name w:val="List Number 5"/>
    <w:basedOn w:val="List5"/>
    <w:rsid w:val="00683CBE"/>
    <w:pPr>
      <w:numPr>
        <w:numId w:val="5"/>
      </w:numPr>
    </w:pPr>
  </w:style>
  <w:style w:type="paragraph" w:styleId="BlockText">
    <w:name w:val="Block Text"/>
    <w:basedOn w:val="Normal"/>
    <w:rsid w:val="00683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CBE"/>
    <w:rPr>
      <w:sz w:val="16"/>
      <w:vertAlign w:val="superscript"/>
    </w:rPr>
  </w:style>
  <w:style w:type="character" w:customStyle="1" w:styleId="Symbols">
    <w:name w:val="Symbols"/>
    <w:basedOn w:val="DefaultParagraphFont"/>
    <w:rsid w:val="00683CBE"/>
    <w:rPr>
      <w:rFonts w:ascii="Symbol" w:hAnsi="Symbol"/>
    </w:rPr>
  </w:style>
  <w:style w:type="character" w:customStyle="1" w:styleId="MenuOptions">
    <w:name w:val="Menu Options"/>
    <w:basedOn w:val="DefaultParagraphFont"/>
    <w:rsid w:val="00683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CBE"/>
    <w:rPr>
      <w:b/>
    </w:rPr>
  </w:style>
  <w:style w:type="character" w:customStyle="1" w:styleId="Underlined">
    <w:name w:val="Underlined"/>
    <w:basedOn w:val="DefaultParagraphFont"/>
    <w:rsid w:val="00683CBE"/>
    <w:rPr>
      <w:u w:val="single"/>
    </w:rPr>
  </w:style>
  <w:style w:type="paragraph" w:customStyle="1" w:styleId="TableBodyTextRight">
    <w:name w:val="Table Body Text Right"/>
    <w:basedOn w:val="TableBodyText"/>
    <w:rsid w:val="00683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CBE"/>
    <w:rPr>
      <w:sz w:val="18"/>
    </w:rPr>
  </w:style>
  <w:style w:type="paragraph" w:customStyle="1" w:styleId="BodySmallRight">
    <w:name w:val="Body Small Right"/>
    <w:basedOn w:val="BodyTextRight"/>
    <w:rsid w:val="00683CBE"/>
    <w:rPr>
      <w:sz w:val="18"/>
      <w:szCs w:val="18"/>
    </w:rPr>
  </w:style>
  <w:style w:type="paragraph" w:customStyle="1" w:styleId="MarginEdition">
    <w:name w:val="Margin Edition"/>
    <w:basedOn w:val="MarginNote"/>
    <w:rsid w:val="00683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CBE"/>
    <w:rPr>
      <w:sz w:val="2"/>
      <w:szCs w:val="2"/>
    </w:rPr>
  </w:style>
  <w:style w:type="character" w:customStyle="1" w:styleId="Small">
    <w:name w:val="Small"/>
    <w:basedOn w:val="DefaultParagraphFont"/>
    <w:rsid w:val="00683CBE"/>
    <w:rPr>
      <w:sz w:val="16"/>
    </w:rPr>
  </w:style>
  <w:style w:type="paragraph" w:customStyle="1" w:styleId="WideTable">
    <w:name w:val="Wide Table"/>
    <w:basedOn w:val="Normal"/>
    <w:rsid w:val="00683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CBE"/>
  </w:style>
  <w:style w:type="paragraph" w:styleId="Quote">
    <w:name w:val="Quote"/>
    <w:basedOn w:val="Heading1"/>
    <w:link w:val="QuoteChar"/>
    <w:qFormat/>
    <w:rsid w:val="00683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CBE"/>
    <w:pPr>
      <w:pageBreakBefore/>
    </w:pPr>
  </w:style>
  <w:style w:type="paragraph" w:customStyle="1" w:styleId="Border">
    <w:name w:val="Border"/>
    <w:basedOn w:val="Normal"/>
    <w:qFormat/>
    <w:rsid w:val="00683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CBE"/>
    <w:rPr>
      <w:u w:val="single"/>
    </w:rPr>
  </w:style>
  <w:style w:type="character" w:customStyle="1" w:styleId="BoldandItalics">
    <w:name w:val="Bold and Italics"/>
    <w:qFormat/>
    <w:rsid w:val="00683CBE"/>
    <w:rPr>
      <w:b/>
      <w:i/>
      <w:u w:val="none"/>
    </w:rPr>
  </w:style>
  <w:style w:type="paragraph" w:styleId="BalloonText">
    <w:name w:val="Balloon Text"/>
    <w:basedOn w:val="Normal"/>
    <w:link w:val="BalloonTextChar"/>
    <w:rsid w:val="00683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C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C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CBE"/>
    <w:pPr>
      <w:spacing w:before="0" w:after="0"/>
    </w:pPr>
  </w:style>
  <w:style w:type="paragraph" w:customStyle="1" w:styleId="BodyTextBold">
    <w:name w:val="Body Text Bold"/>
    <w:basedOn w:val="BodyText"/>
    <w:qFormat/>
    <w:rsid w:val="00683CBE"/>
    <w:rPr>
      <w:b/>
    </w:rPr>
  </w:style>
  <w:style w:type="character" w:styleId="Hyperlink">
    <w:name w:val="Hyperlink"/>
    <w:basedOn w:val="DefaultParagraphFont"/>
    <w:uiPriority w:val="99"/>
    <w:unhideWhenUsed/>
    <w:rsid w:val="00DE6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6856</Characters>
  <Application>Microsoft Office Word</Application>
  <DocSecurity>0</DocSecurity>
  <Lines>263</Lines>
  <Paragraphs>121</Paragraphs>
  <ScaleCrop>false</ScaleCrop>
  <Company>Author-it Software Corporation Ltd.</Company>
  <LinksUpToDate>false</LinksUpToDate>
  <CharactersWithSpaces>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UETTDRTS30 Design power systems secondary isolation instructional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