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B75" w:rsidP="00C90B75">
      <w:pPr>
        <w:pStyle w:val="Title"/>
      </w:pPr>
      <w:r>
        <w:fldChar w:fldCharType="begin"/>
      </w:r>
      <w:r>
        <w:instrText xml:space="preserve"> TITLE   \* MERGEFORMAT </w:instrText>
      </w:r>
      <w:r>
        <w:fldChar w:fldCharType="separate"/>
      </w:r>
      <w:r>
        <w:t>UETTDRTS30 Design power systems secondary isolation instructional documents</w:t>
      </w:r>
      <w:r>
        <w:fldChar w:fldCharType="end"/>
      </w:r>
    </w:p>
    <w:p w:rsidR="00C90B75" w:rsidP="00C90B75">
      <w:pPr>
        <w:pStyle w:val="Version"/>
        <w:sectPr w:rsidSect="00620F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F4E" w:rsidP="00620F4E">
      <w:pPr>
        <w:pStyle w:val="SuperHeading"/>
      </w:pPr>
      <w:r w:rsidRPr="00620F4E">
        <w:t>UETTDRTS30 Design power systems secondary isolation instructional documents</w:t>
      </w:r>
    </w:p>
    <w:p w:rsidR="00000000" w:rsidRPr="00620F4E" w:rsidP="00620F4E">
      <w:pPr>
        <w:pStyle w:val="Heading1"/>
      </w:pPr>
      <w:bookmarkStart w:id="1" w:name="O_1005613"/>
      <w:bookmarkEnd w:id="1"/>
      <w:r w:rsidRPr="00620F4E">
        <w:t>Modification History</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Release 1. This is the first release of this unit of competency in the UET Transmission, Distribution and Rail Sector Training Package.</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2" w:name="O_1005614"/>
      <w:bookmarkEnd w:id="2"/>
      <w:r w:rsidRPr="00620F4E">
        <w:t>Application</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 xml:space="preserve">This unit covers the skills needed to design secondary isolations. This will involve analysis of tripping and a thorough understanding of secondary voltage and current, direct current (d.c.), alarm, metering and communication </w:t>
            </w:r>
            <w:r w:rsidRPr="00620F4E">
              <w:t>circuits. It also involves accurate communication of this information in a format acceptable to the operating or testing authority.</w:t>
            </w:r>
          </w:p>
          <w:p w:rsidR="00000000" w:rsidRPr="00620F4E" w:rsidP="00620F4E">
            <w:pPr>
              <w:pStyle w:val="BodyText"/>
            </w:pPr>
            <w:r w:rsidRPr="00620F4E">
              <w:t>The application of the skills and knowledge described in this unit may require a licence/registration to practice in the wor</w:t>
            </w:r>
            <w:r w:rsidRPr="00620F4E">
              <w:t xml:space="preserve">kplace subject to regulations for undertaking of electrical work.  </w:t>
            </w:r>
          </w:p>
          <w:p w:rsidR="00000000" w:rsidRPr="00620F4E" w:rsidP="00620F4E">
            <w:pPr>
              <w:pStyle w:val="BodyText"/>
            </w:pPr>
            <w:r w:rsidRPr="00620F4E">
              <w:t>Other conditions may apply under state and territory legislative and regulatory licencing requirements which must be confirmed prior to commencing this unit.</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3" w:name="O_1005615"/>
      <w:bookmarkEnd w:id="3"/>
      <w:r w:rsidRPr="00620F4E">
        <w:t>Pre-requi</w:t>
      </w:r>
      <w:r w:rsidRPr="00620F4E">
        <w:t>site Unit</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Common Unit Group</w:t>
            </w:r>
          </w:p>
          <w:p w:rsidR="00000000" w:rsidRPr="00620F4E" w:rsidP="00620F4E">
            <w:pPr>
              <w:pStyle w:val="BodyText"/>
            </w:pPr>
            <w:r w:rsidRPr="00620F4E">
              <w:t>UEENEED104A Use engineering applications software on personal computers</w:t>
            </w:r>
          </w:p>
          <w:p w:rsidR="00000000" w:rsidRPr="00620F4E" w:rsidP="00620F4E">
            <w:pPr>
              <w:pStyle w:val="BodyText"/>
            </w:pPr>
            <w:r w:rsidRPr="00620F4E">
              <w:t>UEENEEE101A Apply Occupational Health and Safety regulations, codes and practices in the workplace</w:t>
            </w:r>
          </w:p>
          <w:p w:rsidR="00000000" w:rsidRPr="00620F4E" w:rsidP="00620F4E">
            <w:pPr>
              <w:pStyle w:val="BodyText"/>
            </w:pPr>
            <w:r w:rsidRPr="00620F4E">
              <w:t>UEENEEE102A Fabricate, assemble and dismantle utilities i</w:t>
            </w:r>
            <w:r w:rsidRPr="00620F4E">
              <w:t>ndustry components</w:t>
            </w:r>
          </w:p>
          <w:p w:rsidR="00000000" w:rsidRPr="00620F4E" w:rsidP="00620F4E">
            <w:pPr>
              <w:pStyle w:val="BodyText"/>
            </w:pPr>
            <w:r w:rsidRPr="00620F4E">
              <w:t>UEENEEE104A Solve problems in d.c. circuits</w:t>
            </w:r>
          </w:p>
          <w:p w:rsidR="00000000" w:rsidRPr="00620F4E" w:rsidP="00620F4E">
            <w:pPr>
              <w:pStyle w:val="BodyText"/>
            </w:pPr>
            <w:r w:rsidRPr="00620F4E">
              <w:t>UEENEEE107A Use drawings, diagrams, schedules, standards, codes and specifications</w:t>
            </w:r>
          </w:p>
          <w:p w:rsidR="00000000" w:rsidRPr="00620F4E" w:rsidP="00620F4E">
            <w:pPr>
              <w:pStyle w:val="BodyText"/>
            </w:pPr>
            <w:r w:rsidRPr="00620F4E">
              <w:t>UEENEEE124A Compile and produce an energy sector detailed report</w:t>
            </w:r>
          </w:p>
          <w:p w:rsidR="00000000" w:rsidRPr="00620F4E" w:rsidP="00620F4E">
            <w:pPr>
              <w:pStyle w:val="BodyText"/>
            </w:pPr>
            <w:r w:rsidRPr="00620F4E">
              <w:t>UEENEEE125A Provide engineering solutions for</w:t>
            </w:r>
            <w:r w:rsidRPr="00620F4E">
              <w:t xml:space="preserve"> problems in complex multiple path circuits</w:t>
            </w:r>
          </w:p>
          <w:p w:rsidR="00000000" w:rsidRPr="00620F4E" w:rsidP="00620F4E">
            <w:pPr>
              <w:pStyle w:val="BodyText"/>
            </w:pPr>
            <w:r w:rsidRPr="00620F4E">
              <w:t>UEENEEE126A Provide solutions to basic engineering computational problems</w:t>
            </w:r>
          </w:p>
          <w:p w:rsidR="00000000" w:rsidRPr="00620F4E" w:rsidP="00620F4E">
            <w:pPr>
              <w:pStyle w:val="BodyText"/>
            </w:pPr>
            <w:r w:rsidRPr="00620F4E">
              <w:t>UEENEEG101A Solve problems in electromagnetic devices and related circuits</w:t>
            </w:r>
          </w:p>
          <w:p w:rsidR="00000000" w:rsidRPr="00620F4E" w:rsidP="00620F4E">
            <w:pPr>
              <w:pStyle w:val="BodyText"/>
            </w:pPr>
            <w:r w:rsidRPr="00620F4E">
              <w:t>UEENEEG102A Solve problems in low voltage a.c. circuits</w:t>
            </w:r>
          </w:p>
          <w:p w:rsidR="00000000" w:rsidRPr="00620F4E" w:rsidP="00620F4E">
            <w:pPr>
              <w:pStyle w:val="BodyText"/>
            </w:pPr>
            <w:r w:rsidRPr="00620F4E">
              <w:t>UEENEEG149A Provide engineering solutions to problems in complex polyphase power circuits</w:t>
            </w:r>
          </w:p>
          <w:p w:rsidR="00000000" w:rsidRPr="00620F4E" w:rsidP="00620F4E">
            <w:pPr>
              <w:pStyle w:val="BodyText"/>
            </w:pPr>
            <w:r w:rsidRPr="00620F4E">
              <w:t>UETTDREL11 Apply sustainable energy and environmental procedures</w:t>
            </w:r>
          </w:p>
          <w:p w:rsidR="00000000" w:rsidRPr="00620F4E" w:rsidP="00620F4E">
            <w:pPr>
              <w:pStyle w:val="BodyText"/>
            </w:pPr>
            <w:r w:rsidRPr="00620F4E">
              <w:t>UETTDREL16 Working safely near live electrical apparatus</w:t>
            </w:r>
          </w:p>
          <w:p w:rsidR="00000000" w:rsidRPr="00620F4E" w:rsidP="00620F4E">
            <w:pPr>
              <w:pStyle w:val="BodyText"/>
            </w:pPr>
            <w:r w:rsidRPr="00620F4E">
              <w:t>UETTDRIS62 Implement and monitor the power s</w:t>
            </w:r>
            <w:r w:rsidRPr="00620F4E">
              <w:t xml:space="preserve">ystem organisational WHS/OHS policies, </w:t>
            </w:r>
            <w:r w:rsidRPr="00620F4E">
              <w:t>procedures and programs</w:t>
            </w:r>
          </w:p>
          <w:p w:rsidR="00000000" w:rsidRPr="00620F4E" w:rsidP="00620F4E">
            <w:pPr>
              <w:pStyle w:val="BodyText"/>
            </w:pPr>
            <w:r w:rsidRPr="00620F4E">
              <w:t>UETTDRIS63 Implement &amp; monitor power system environmental &amp; sustainable energy management policies &amp; procedures</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4" w:name="O_1005616"/>
      <w:bookmarkEnd w:id="4"/>
      <w:r w:rsidRPr="00620F4E">
        <w:t>Competency Field</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Testing</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5" w:name="O_1005617"/>
      <w:bookmarkEnd w:id="5"/>
      <w:r w:rsidRPr="00620F4E">
        <w:t>Unit Sector</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No</w:t>
            </w:r>
            <w:r w:rsidRPr="00620F4E">
              <w:t>t applicable.</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6" w:name="O_1005618"/>
      <w:bookmarkEnd w:id="6"/>
      <w:r w:rsidRPr="00620F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0F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PERFORMANCE CRITERIA</w:t>
            </w:r>
          </w:p>
        </w:tc>
      </w:tr>
      <w:tr w:rsidTr="00620F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Performance criteria describe the performance needed to demonstrate achievement of the element.</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Plan for the design of secondary isolation instructional documents</w:t>
            </w: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Work health and safety (WHS)/occupational health and safety (OHS) practices/procedures and environmental and sustainable energy procedures, which may influence the design of secondary i</w:t>
            </w:r>
            <w:r w:rsidRPr="00620F4E">
              <w:t>solation instructional documents, are reviewed and determined</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Purpose of the design of secondary isolation instructional documents is established after data is analysed and expected outcomes of the work are confirmed with appropriate personnel</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Organisational established procedures on policies and specifications for the design of secondary isolation instructional documents are obtained or established with appropriate personnel</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Testing procedures are discussed with/directed to appropria</w:t>
            </w:r>
            <w:r w:rsidRPr="00620F4E">
              <w:t>te personnel in order to ascertain the project brief</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Testing parameters are established from organisational established procedures and policies and specifications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Equipment/tools and personal protective equipment (PPE) are selected based on specified performance criteria and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Work roles and tasks are allocated according to requirements and individual competencies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Work is prioritis</w:t>
            </w:r>
            <w:r w:rsidRPr="00620F4E">
              <w:t>ed and sequenced for the most efficient/effective outcome, completed within an acceptable timeframe, to a quality standard and in accordance with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 xml:space="preserve">Liaison and communication issues with others/authorised personnel, authorities, </w:t>
            </w:r>
            <w:r w:rsidRPr="00620F4E">
              <w:t>clients and land owners are resolved and activities coordinated to carry out work</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Risk control measures are identified, prioritised and evaluated against the work schedule</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Relevant work permits are secured to coordinate the performance of work according to requirements and/or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Carry out the design of secondary isolation instructional documents</w:t>
            </w: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Circuit/systems modelling is used to evaluate alternative proposals in accordance with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WHS/OHS and sustainable energy principles, functionality and practices to reduce the incidents of accidents and minimise waste are incorpor</w:t>
            </w:r>
            <w:r w:rsidRPr="00620F4E">
              <w:t>ated into the project in accordance with requirements and/or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Design of secondary isolation instructional document decisions are made on the basis of safety and effective outcomes according to requirements and/or established pr</w:t>
            </w:r>
            <w:r w:rsidRPr="00620F4E">
              <w:t>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Mathematical and/or engineering models of the design of secondary isolation instructional documents are used to analyse the effectiveness of the finished project in accordance with requirements and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Technical advice is given regarding potential hazards, safety risks and control measures so that monitoring and preventative action can be undertaken and/or appropriate authorities consulted, where necessary, in accordance with requirements and established</w:t>
            </w:r>
            <w:r w:rsidRPr="00620F4E">
              <w:t xml:space="preserve">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Essential knowledge and associated skills are applied to analyse specific data and compare it with compliance specifications to ensure completion of the project within an agreed timeframe according to requirements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Testing of the d</w:t>
            </w:r>
            <w:r w:rsidRPr="00620F4E">
              <w:t>esign of secondary isolation instructional documents is undertaken according to requirements and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Work teams/groups are arranged/coordinated/evaluated to ensure planned goals are met according to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Solutions to non-routine problems are identified and actioned, using acquired essential knowledge and associated skills, according to requirements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Quality of work is monitored against personal performance agreement and/or established organisational</w:t>
            </w:r>
            <w:r w:rsidRPr="00620F4E">
              <w:t xml:space="preserve"> and professional standards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Strategic plans are developed incorporating organisation initiatives in accordance with established procedures</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rPr>
                <w:rStyle w:val="SpecialBold"/>
              </w:rPr>
              <w:t>Complete the design of secondary isolation instructional documents</w:t>
            </w: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 xml:space="preserve">Final inspections of the design of </w:t>
            </w:r>
            <w:r w:rsidRPr="00620F4E">
              <w:t>secondary isolation instructional documents are undertaken to ensure they comply with all requirements and include all specifications and documentations needed to complete the project</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Appropriate personnel are notified of completion and reports and/or completion documents are finalised/commissioned</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Reports and/or completion documents are submitted to relevant personnel/organisations for approval and, where applicable, statutory o</w:t>
            </w:r>
            <w:r w:rsidRPr="00620F4E">
              <w:t>r regulatory approval</w:t>
            </w:r>
          </w:p>
        </w:tc>
      </w:tr>
      <w:tr w:rsidTr="00620F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Approved copies of the design of secondary isolation instructional documents are issued and records are updated in accordance with established procedures</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7" w:name="O_1005619"/>
      <w:bookmarkEnd w:id="7"/>
      <w:r w:rsidRPr="00620F4E">
        <w:t>Foundation Skills</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Foundation skills essential to per</w:t>
            </w:r>
            <w:r w:rsidRPr="00620F4E">
              <w:t>formance are explicit in the performance criteria of this unit of competency.</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8" w:name="O_1005620"/>
      <w:bookmarkEnd w:id="8"/>
      <w:r w:rsidRPr="00620F4E">
        <w:t>Range of Conditions</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Range is restricted to essential operating conditions and any other variables essential to the work environment.</w:t>
            </w:r>
          </w:p>
          <w:p w:rsidR="00000000" w:rsidRPr="00620F4E" w:rsidP="00620F4E">
            <w:pPr>
              <w:pStyle w:val="BodyText"/>
            </w:pPr>
            <w:r w:rsidRPr="00620F4E">
              <w:t>Non-essential conditions may be found in the Companion Volume Implementation Guide.</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9" w:name="O_1005621"/>
      <w:bookmarkEnd w:id="9"/>
      <w:r w:rsidRPr="00620F4E">
        <w:t>Unit Mapping Information</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This unit replaces and is equivalent to UETTDRTS30A Design power systems secondary isolation instructional documents.</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10" w:name="O_1005628"/>
      <w:bookmarkEnd w:id="10"/>
      <w:r w:rsidRPr="00620F4E">
        <w:t>Links</w:t>
      </w:r>
    </w:p>
    <w:p w:rsidR="00000000" w:rsidRPr="00620F4E" w:rsidP="00C90B75">
      <w:pPr>
        <w:pStyle w:val="BodyText"/>
      </w:pPr>
      <w:r w:rsidRPr="00620F4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70E7">
        <w:rPr>
          <w:rStyle w:val="Hyperlink"/>
        </w:rPr>
        <w:t>https://vetnet.gov.au/Pages/TrainingDocs.aspx?q=229bace1-b7bc-4653-9300-dffb13ecfad7</w:t>
      </w:r>
      <w:r>
        <w:fldChar w:fldCharType="end"/>
      </w:r>
    </w:p>
    <w:p w:rsidR="00000000" w:rsidRPr="00620F4E" w:rsidP="00C90B75">
      <w:pPr>
        <w:pStyle w:val="BodyText"/>
        <w:sectPr w:rsidSect="00620F4E">
          <w:headerReference w:type="default" r:id="rId10"/>
          <w:footerReference w:type="default" r:id="rId11"/>
          <w:pgSz w:w="11908" w:h="16833"/>
          <w:pgMar w:top="1702" w:right="1418" w:bottom="1702" w:left="1418" w:header="992" w:footer="992" w:gutter="0"/>
          <w:cols w:space="720"/>
          <w:noEndnote/>
          <w:docGrid w:linePitch="299"/>
        </w:sectPr>
      </w:pPr>
    </w:p>
    <w:p w:rsidR="00000000" w:rsidRPr="00620F4E" w:rsidP="00620F4E">
      <w:pPr>
        <w:pStyle w:val="SuperHeading"/>
      </w:pPr>
      <w:r w:rsidRPr="00620F4E">
        <w:t>Assessment Requirements f</w:t>
      </w:r>
      <w:r w:rsidRPr="00620F4E">
        <w:t>or UETTDRTS30 Design power systems secondary isolation instructional documents</w:t>
      </w:r>
    </w:p>
    <w:p w:rsidR="00000000" w:rsidRPr="00620F4E" w:rsidP="00620F4E">
      <w:pPr>
        <w:pStyle w:val="Heading1"/>
      </w:pPr>
      <w:bookmarkStart w:id="11" w:name="O_1005623"/>
      <w:bookmarkEnd w:id="11"/>
      <w:r w:rsidRPr="00620F4E">
        <w:t>Modification History</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Release 1. This is the first release of this unit of competency in the UET Transmission, Distribution and Rail Sector Training Package.</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12" w:name="O_1005624"/>
      <w:bookmarkEnd w:id="12"/>
      <w:r w:rsidRPr="00620F4E">
        <w:t>Performance Evidence</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 xml:space="preserve">Evidence required to demonstrate competence in this unit must be relevant to and satisfy all of the requirements of the elements and performance criteria on at least two separate occasions and include:  </w:t>
            </w:r>
          </w:p>
        </w:tc>
      </w:tr>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ListBullet"/>
            </w:pPr>
            <w:r w:rsidRPr="00620F4E">
              <w:t>applying r</w:t>
            </w:r>
            <w:r w:rsidRPr="00620F4E">
              <w:t>elevant work health and safety (WHS)/occupational health and safety (OHS) requirements, including the use of risk control measures</w:t>
            </w:r>
          </w:p>
          <w:p w:rsidR="00000000" w:rsidRPr="00620F4E" w:rsidP="00620F4E">
            <w:pPr>
              <w:pStyle w:val="ListBullet"/>
            </w:pPr>
            <w:r w:rsidRPr="00620F4E">
              <w:t>applying sustainable energy principles and practices</w:t>
            </w:r>
          </w:p>
          <w:p w:rsidR="00000000" w:rsidRPr="00620F4E" w:rsidP="00620F4E">
            <w:pPr>
              <w:pStyle w:val="ListBullet"/>
            </w:pPr>
            <w:r w:rsidRPr="00620F4E">
              <w:t xml:space="preserve">designing secondary isolation instructional documents for at least four </w:t>
            </w:r>
            <w:r w:rsidRPr="00620F4E">
              <w:t>(4) of the following substation equipment:</w:t>
            </w:r>
          </w:p>
          <w:p w:rsidR="00000000" w:rsidRPr="00620F4E" w:rsidP="00620F4E">
            <w:pPr>
              <w:pStyle w:val="ListBullet2"/>
            </w:pPr>
            <w:r w:rsidRPr="00620F4E">
              <w:t>bus protection</w:t>
            </w:r>
          </w:p>
          <w:p w:rsidR="00000000" w:rsidRPr="00620F4E" w:rsidP="00620F4E">
            <w:pPr>
              <w:pStyle w:val="ListBullet2"/>
            </w:pPr>
            <w:r w:rsidRPr="00620F4E">
              <w:t>high impedance bus protection</w:t>
            </w:r>
          </w:p>
          <w:p w:rsidR="00000000" w:rsidRPr="00620F4E" w:rsidP="00620F4E">
            <w:pPr>
              <w:pStyle w:val="ListBullet2"/>
            </w:pPr>
            <w:r w:rsidRPr="00620F4E">
              <w:t>feeder/line protection</w:t>
            </w:r>
          </w:p>
          <w:p w:rsidR="00000000" w:rsidRPr="00620F4E" w:rsidP="00620F4E">
            <w:pPr>
              <w:pStyle w:val="ListBullet2"/>
            </w:pPr>
            <w:r w:rsidRPr="00620F4E">
              <w:t>transformer protection</w:t>
            </w:r>
          </w:p>
          <w:p w:rsidR="00000000" w:rsidRPr="00620F4E" w:rsidP="00620F4E">
            <w:pPr>
              <w:pStyle w:val="ListBullet2"/>
            </w:pPr>
            <w:r w:rsidRPr="00620F4E">
              <w:t>earth fault protection</w:t>
            </w:r>
          </w:p>
          <w:p w:rsidR="00000000" w:rsidRPr="00620F4E" w:rsidP="00620F4E">
            <w:pPr>
              <w:pStyle w:val="ListBullet2"/>
            </w:pPr>
            <w:r w:rsidRPr="00620F4E">
              <w:t>backup protection</w:t>
            </w:r>
          </w:p>
          <w:p w:rsidR="00000000" w:rsidRPr="00620F4E" w:rsidP="00620F4E">
            <w:pPr>
              <w:pStyle w:val="ListBullet2"/>
            </w:pPr>
            <w:r w:rsidRPr="00620F4E">
              <w:t>pilot wire protection</w:t>
            </w:r>
          </w:p>
          <w:p w:rsidR="00000000" w:rsidRPr="00620F4E" w:rsidP="00620F4E">
            <w:pPr>
              <w:pStyle w:val="ListBullet"/>
            </w:pPr>
            <w:r w:rsidRPr="00620F4E">
              <w:t>dealing with unplanned events on at least one (1) occasion.</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13" w:name="O_1005625"/>
      <w:bookmarkEnd w:id="13"/>
      <w:r w:rsidRPr="00620F4E">
        <w:t>Knowledge Evidence</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0F4E">
            <w:pPr>
              <w:pStyle w:val="BodyText"/>
              <w:rPr>
                <w:lang w:val="en-NZ"/>
              </w:rPr>
            </w:pPr>
            <w:r w:rsidRPr="00620F4E">
              <w:t>Evidence required to demonstrate competence in this unit must be relevant to and satisfy all of the requirements of the elements and performance criter</w:t>
            </w:r>
            <w:r w:rsidRPr="00620F4E">
              <w:t>ia and include knowledge of:</w:t>
            </w:r>
          </w:p>
        </w:tc>
      </w:tr>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ListBullet"/>
            </w:pPr>
            <w:r w:rsidRPr="00620F4E">
              <w:t>WHS/OHS enterprise responsibilities encompassing:</w:t>
            </w:r>
          </w:p>
          <w:p w:rsidR="00000000" w:rsidRPr="00620F4E" w:rsidP="00620F4E">
            <w:pPr>
              <w:pStyle w:val="ListBullet2"/>
            </w:pPr>
            <w:r w:rsidRPr="00620F4E">
              <w:t>provisions of relevant WHS/OHS legislation</w:t>
            </w:r>
          </w:p>
          <w:p w:rsidR="00000000" w:rsidRPr="00620F4E" w:rsidP="00620F4E">
            <w:pPr>
              <w:pStyle w:val="ListBullet2"/>
            </w:pPr>
            <w:r w:rsidRPr="00620F4E">
              <w:t>principles and practice of effective WHS/OHS management</w:t>
            </w:r>
          </w:p>
          <w:p w:rsidR="00000000" w:rsidRPr="00620F4E" w:rsidP="00620F4E">
            <w:pPr>
              <w:pStyle w:val="ListBullet2"/>
            </w:pPr>
            <w:r w:rsidRPr="00620F4E">
              <w:t>management arrangements relating to regulatory compliance</w:t>
            </w:r>
          </w:p>
          <w:p w:rsidR="00000000" w:rsidRPr="00620F4E" w:rsidP="00620F4E">
            <w:pPr>
              <w:pStyle w:val="ListBullet2"/>
            </w:pPr>
            <w:r w:rsidRPr="00620F4E">
              <w:t>enterprise hazards and risks, control measures and relevant expertise required</w:t>
            </w:r>
          </w:p>
          <w:p w:rsidR="00000000" w:rsidRPr="00620F4E" w:rsidP="00620F4E">
            <w:pPr>
              <w:pStyle w:val="ListBullet2"/>
            </w:pPr>
            <w:r w:rsidRPr="00620F4E">
              <w:t>characteristics and composition of workforce and their impact on WHS/OHS management</w:t>
            </w:r>
          </w:p>
          <w:p w:rsidR="00000000" w:rsidRPr="00620F4E" w:rsidP="00620F4E">
            <w:pPr>
              <w:pStyle w:val="ListBullet2"/>
            </w:pPr>
            <w:r w:rsidRPr="00620F4E">
              <w:t>relevance of enterprise management systems to WHS/OHS management</w:t>
            </w:r>
          </w:p>
          <w:p w:rsidR="00000000" w:rsidRPr="00620F4E" w:rsidP="00620F4E">
            <w:pPr>
              <w:pStyle w:val="ListBullet2"/>
            </w:pPr>
            <w:r w:rsidRPr="00620F4E">
              <w:t>analysis of working environm</w:t>
            </w:r>
            <w:r w:rsidRPr="00620F4E">
              <w:t>ent and design of appropriate WHS/OHS management systems</w:t>
            </w:r>
          </w:p>
          <w:p w:rsidR="00000000" w:rsidRPr="00620F4E" w:rsidP="00620F4E">
            <w:pPr>
              <w:pStyle w:val="ListBullet2"/>
            </w:pPr>
            <w:r w:rsidRPr="00620F4E">
              <w:t>analysis of relevant data and evaluation of WHS/OHS system effectiveness</w:t>
            </w:r>
          </w:p>
          <w:p w:rsidR="00000000" w:rsidRPr="00620F4E" w:rsidP="00620F4E">
            <w:pPr>
              <w:pStyle w:val="ListBullet2"/>
            </w:pPr>
            <w:r w:rsidRPr="00620F4E">
              <w:t>assess resources to establish and maintain WHS/OHS management systems</w:t>
            </w:r>
          </w:p>
          <w:p w:rsidR="00000000" w:rsidRPr="00620F4E" w:rsidP="00620F4E">
            <w:pPr>
              <w:pStyle w:val="ListBullet"/>
            </w:pPr>
            <w:r w:rsidRPr="00620F4E">
              <w:t>secondary switching/isolation principles and sheet prep</w:t>
            </w:r>
            <w:r w:rsidRPr="00620F4E">
              <w:t>aration encompassing:</w:t>
            </w:r>
          </w:p>
          <w:p w:rsidR="00000000" w:rsidRPr="00620F4E" w:rsidP="00620F4E">
            <w:pPr>
              <w:pStyle w:val="ListBullet2"/>
            </w:pPr>
            <w:r w:rsidRPr="00620F4E">
              <w:t>techniques in performing and demonstrating correct sequence of isolation and/or restoration - communication with appropriate authorities, ensuring adequate protection remains in service to provide plant protection, and reading and in</w:t>
            </w:r>
            <w:r w:rsidRPr="00620F4E">
              <w:t>terpreting drawings for switching/isolating, sheet/instruction preparation.</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14" w:name="O_1005626"/>
      <w:bookmarkEnd w:id="14"/>
      <w:r w:rsidRPr="00620F4E">
        <w:t>Assessment Conditions</w:t>
      </w:r>
    </w:p>
    <w:tbl>
      <w:tblPr>
        <w:tblW w:w="9497" w:type="dxa"/>
        <w:tblLayout w:type="fixed"/>
        <w:tblCellMar>
          <w:left w:w="62" w:type="dxa"/>
          <w:right w:w="62" w:type="dxa"/>
        </w:tblCellMar>
        <w:tblLook w:val="0000"/>
      </w:tblPr>
      <w:tblGrid>
        <w:gridCol w:w="9497"/>
      </w:tblGrid>
      <w:tr w:rsidTr="00620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F4E" w:rsidP="00620F4E">
            <w:pPr>
              <w:pStyle w:val="BodyText"/>
            </w:pPr>
            <w:r w:rsidRPr="00620F4E">
              <w:t xml:space="preserve">Assessors must hold credentials specified within the Standards for Registered Training Organisations </w:t>
            </w:r>
            <w:r w:rsidRPr="00620F4E">
              <w:t>current at the time of assessment.</w:t>
            </w:r>
          </w:p>
          <w:p w:rsidR="00000000" w:rsidRPr="00620F4E" w:rsidP="00620F4E">
            <w:pPr>
              <w:pStyle w:val="BodyText"/>
            </w:pPr>
            <w:r w:rsidRPr="00620F4E">
              <w:t>Assessment must satisfy the Principles of Assessment and Rules of Evidence and all regulatory requirements included within the Standards for Registered Training Organisations current at the time of assessment.</w:t>
            </w:r>
          </w:p>
          <w:p w:rsidR="00000000" w:rsidRPr="00620F4E" w:rsidP="00620F4E">
            <w:pPr>
              <w:pStyle w:val="BodyText"/>
            </w:pPr>
            <w:r w:rsidRPr="00620F4E">
              <w:t>Assessment must occur in workplace operational</w:t>
            </w:r>
            <w:r w:rsidRPr="00620F4E">
              <w:t xml:space="preserve"> situations where it is appropriate to do so; where this is not appropriate, assessment must occur in simulated conditions involving realistic and authentic activities that replicate operational workplace conditions.</w:t>
            </w:r>
          </w:p>
          <w:p w:rsidR="00000000" w:rsidRPr="00620F4E" w:rsidP="00620F4E">
            <w:pPr>
              <w:pStyle w:val="BodyText"/>
            </w:pPr>
            <w:r w:rsidRPr="00620F4E">
              <w:t>Assessment processes and techniques mus</w:t>
            </w:r>
            <w:r w:rsidRPr="00620F4E">
              <w:t>t be appropriate to the language, literacy and numeracy requirements of the work being performed and the needs of the candidate.</w:t>
            </w:r>
          </w:p>
          <w:p w:rsidR="00000000" w:rsidRPr="00620F4E" w:rsidP="00620F4E">
            <w:pPr>
              <w:pStyle w:val="BodyText"/>
            </w:pPr>
            <w:r w:rsidRPr="00620F4E">
              <w:t>Resources for assessment must include access to:</w:t>
            </w:r>
          </w:p>
          <w:p w:rsidR="00000000" w:rsidRPr="00620F4E" w:rsidP="00620F4E">
            <w:pPr>
              <w:pStyle w:val="ListBullet"/>
            </w:pPr>
            <w:r w:rsidRPr="00620F4E">
              <w:t>a range of relevant exercises, case studies and/or other simulations</w:t>
            </w:r>
          </w:p>
          <w:p w:rsidR="00000000" w:rsidRPr="00620F4E" w:rsidP="00620F4E">
            <w:pPr>
              <w:pStyle w:val="ListBullet"/>
            </w:pPr>
            <w:r w:rsidRPr="00620F4E">
              <w:t>relevant</w:t>
            </w:r>
            <w:r w:rsidRPr="00620F4E">
              <w:t xml:space="preserve"> and appropriate materials, tools, facilities, equipment and personal protective equipment (PPE) currently used in industry</w:t>
            </w:r>
          </w:p>
          <w:p w:rsidR="00000000" w:rsidRPr="00620F4E" w:rsidP="00620F4E">
            <w:pPr>
              <w:pStyle w:val="ListBullet"/>
            </w:pPr>
            <w:r w:rsidRPr="00620F4E">
              <w:t xml:space="preserve">applicable documentation, including workplace procedures, relevant industry standards, equipment specifications, regulations, codes </w:t>
            </w:r>
            <w:r w:rsidRPr="00620F4E">
              <w:t>of practice and operation manuals.</w:t>
            </w:r>
          </w:p>
        </w:tc>
      </w:tr>
    </w:tbl>
    <w:p w:rsidR="00000000" w:rsidRPr="00620F4E" w:rsidP="00620F4E">
      <w:pPr>
        <w:pStyle w:val="NoPaddingFontSize1"/>
      </w:pPr>
    </w:p>
    <w:p w:rsidR="00000000" w:rsidRPr="00620F4E" w:rsidP="00620F4E">
      <w:pPr>
        <w:pStyle w:val="AllowPageBreak"/>
      </w:pPr>
    </w:p>
    <w:p w:rsidR="00000000" w:rsidRPr="00620F4E" w:rsidP="00620F4E">
      <w:pPr>
        <w:pStyle w:val="Heading1"/>
      </w:pPr>
      <w:bookmarkStart w:id="15" w:name="O_1005629"/>
      <w:bookmarkEnd w:id="15"/>
      <w:r w:rsidRPr="00620F4E">
        <w:t>Links</w:t>
      </w:r>
    </w:p>
    <w:p w:rsidR="00000000" w:rsidRPr="00620F4E" w:rsidP="00C90B75">
      <w:pPr>
        <w:pStyle w:val="BodyText"/>
      </w:pPr>
      <w:r w:rsidRPr="00620F4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970E7">
        <w:rPr>
          <w:rStyle w:val="Hyperlink"/>
        </w:rPr>
        <w:t>https://vetnet.gov.au/Pages/TrainingDocs.aspx?q=229bace1-b7bc-4653-9300-dffb13ecfad7</w:t>
      </w:r>
      <w:r>
        <w:fldChar w:fldCharType="end"/>
      </w:r>
    </w:p>
    <w:p w:rsidR="00000000" w:rsidRPr="00620F4E" w:rsidP="00620F4E"/>
    <w:sectPr w:rsidSect="00620F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rsidRPr="00C90B75" w:rsidP="00C90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75" w:rsidP="00620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0B75" w:rsidP="00620F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0B75" w:rsidP="00620F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rsidP="00620F4E">
    <w:pPr>
      <w:pStyle w:val="Footer"/>
      <w:framePr w:wrap="around"/>
    </w:pPr>
    <w:r>
      <w:fldChar w:fldCharType="begin"/>
    </w:r>
    <w:r>
      <w:instrText xml:space="preserve"> DOCPROPERTY  Subject  \* MERGEFORMAT </w:instrText>
    </w:r>
    <w:r>
      <w:fldChar w:fldCharType="separate"/>
    </w:r>
    <w:r w:rsidR="00C90B75">
      <w:t>Approved</w:t>
    </w:r>
    <w:r w:rsidR="00C90B75">
      <w:fldChar w:fldCharType="end"/>
    </w:r>
    <w:r>
      <w:tab/>
      <w:t xml:space="preserve">Page </w:t>
    </w:r>
    <w:r>
      <w:fldChar w:fldCharType="begin"/>
    </w:r>
    <w:r>
      <w:instrText xml:space="preserve"> PAGE  \* Arabic  \* MERGEFORMAT </w:instrText>
    </w:r>
    <w:r>
      <w:fldChar w:fldCharType="separate"/>
    </w:r>
    <w:r w:rsidR="00C90B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B75">
      <w:rPr>
        <w:noProof/>
      </w:rPr>
      <w:t>5</w:t>
    </w:r>
    <w:r>
      <w:rPr>
        <w:noProof/>
      </w:rPr>
      <w:fldChar w:fldCharType="end"/>
    </w:r>
  </w:p>
  <w:p w:rsidR="00620F4E" w:rsidP="00620F4E">
    <w:pPr>
      <w:pStyle w:val="Footer"/>
      <w:framePr w:wrap="around"/>
    </w:pPr>
    <w:r>
      <w:t xml:space="preserve">© Commonwealth of Australia, </w:t>
    </w:r>
    <w:r>
      <w:fldChar w:fldCharType="begin"/>
    </w:r>
    <w:r>
      <w:instrText xml:space="preserve"> DATE  \@ "yyyy"  \* MERGEFORMAT </w:instrText>
    </w:r>
    <w:r>
      <w:fldChar w:fldCharType="separate"/>
    </w:r>
    <w:r w:rsidR="00C90B75">
      <w:rPr>
        <w:noProof/>
      </w:rPr>
      <w:t>2025</w:t>
    </w:r>
    <w:r>
      <w:fldChar w:fldCharType="end"/>
    </w:r>
    <w:r>
      <w:tab/>
    </w:r>
    <w:r>
      <w:fldChar w:fldCharType="begin"/>
    </w:r>
    <w:r>
      <w:instrText xml:space="preserve"> DOCPROPERTY  Author  \* MERGEFORMAT </w:instrText>
    </w:r>
    <w:r>
      <w:fldChar w:fldCharType="separate"/>
    </w:r>
    <w:r w:rsidR="00C90B75">
      <w:t>Powering Skills Organisation</w:t>
    </w:r>
    <w:r w:rsidR="00C90B75">
      <w:fldChar w:fldCharType="end"/>
    </w:r>
  </w:p>
  <w:p w:rsidR="00620F4E" w:rsidP="00620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F4E" w:rsidRPr="00C90B75" w:rsidP="00C90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B75" w:rsidRPr="002D2AF8" w:rsidP="00620F4E">
    <w:pPr>
      <w:pStyle w:val="Header"/>
      <w:framePr w:wrap="around"/>
    </w:pPr>
    <w:r>
      <w:fldChar w:fldCharType="begin"/>
    </w:r>
    <w:r>
      <w:instrText xml:space="preserve"> TITLE   \* MERGEFORMAT </w:instrText>
    </w:r>
    <w:r>
      <w:fldChar w:fldCharType="separate"/>
    </w:r>
    <w:r>
      <w:t>UETTDRTS30 Design power systems secondary isolation instructional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0B75" w:rsidP="00620F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4E" w:rsidRPr="002D2AF8" w:rsidP="00620F4E">
    <w:pPr>
      <w:pStyle w:val="Header"/>
      <w:framePr w:wrap="around"/>
    </w:pPr>
    <w:r>
      <w:fldChar w:fldCharType="begin"/>
    </w:r>
    <w:r>
      <w:instrText xml:space="preserve"> TITLE   \* MERGEFORMAT </w:instrText>
    </w:r>
    <w:r>
      <w:fldChar w:fldCharType="separate"/>
    </w:r>
    <w:r w:rsidR="00C90B75">
      <w:t>UETTDRTS30 Design power systems secondary isolation instructional documents</w:t>
    </w:r>
    <w:r w:rsidR="00C90B75">
      <w:fldChar w:fldCharType="end"/>
    </w:r>
    <w:r>
      <w:tab/>
      <w:t xml:space="preserve">Date this document was generated: </w:t>
    </w:r>
    <w:r>
      <w:fldChar w:fldCharType="begin"/>
    </w:r>
    <w:r>
      <w:instrText xml:space="preserve"> CREATEDATE  \@ "d MMMM yyyy"  \* MERGEFORMAT </w:instrText>
    </w:r>
    <w:r>
      <w:fldChar w:fldCharType="separate"/>
    </w:r>
    <w:r w:rsidR="00C90B75">
      <w:rPr>
        <w:noProof/>
      </w:rPr>
      <w:t>2 March 2025</w:t>
    </w:r>
    <w:r>
      <w:fldChar w:fldCharType="end"/>
    </w:r>
  </w:p>
  <w:p w:rsidR="00620F4E" w:rsidP="00620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C0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E0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4B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F4E"/>
    <w:pPr>
      <w:spacing w:before="360" w:after="60"/>
      <w:outlineLvl w:val="0"/>
    </w:pPr>
    <w:rPr>
      <w:sz w:val="32"/>
    </w:rPr>
  </w:style>
  <w:style w:type="paragraph" w:styleId="Heading2">
    <w:name w:val="heading 2"/>
    <w:basedOn w:val="HeadingBase"/>
    <w:next w:val="BodyText"/>
    <w:link w:val="Heading2Char"/>
    <w:qFormat/>
    <w:rsid w:val="00620F4E"/>
    <w:pPr>
      <w:keepLines/>
      <w:spacing w:before="240" w:after="120"/>
      <w:outlineLvl w:val="1"/>
    </w:pPr>
    <w:rPr>
      <w:sz w:val="28"/>
      <w:szCs w:val="40"/>
    </w:rPr>
  </w:style>
  <w:style w:type="paragraph" w:styleId="Heading3">
    <w:name w:val="heading 3"/>
    <w:basedOn w:val="HeadingBase"/>
    <w:next w:val="BodyText"/>
    <w:link w:val="Heading3Char"/>
    <w:qFormat/>
    <w:rsid w:val="00620F4E"/>
    <w:pPr>
      <w:spacing w:before="180" w:after="120"/>
      <w:outlineLvl w:val="2"/>
    </w:pPr>
    <w:rPr>
      <w:spacing w:val="-10"/>
      <w:kern w:val="32"/>
    </w:rPr>
  </w:style>
  <w:style w:type="paragraph" w:styleId="Heading4">
    <w:name w:val="heading 4"/>
    <w:basedOn w:val="HeadingBase"/>
    <w:next w:val="BodyText"/>
    <w:link w:val="Heading4Char"/>
    <w:qFormat/>
    <w:rsid w:val="00620F4E"/>
    <w:pPr>
      <w:spacing w:before="160" w:after="120"/>
      <w:outlineLvl w:val="3"/>
    </w:pPr>
    <w:rPr>
      <w:sz w:val="22"/>
    </w:rPr>
  </w:style>
  <w:style w:type="paragraph" w:styleId="Heading5">
    <w:name w:val="heading 5"/>
    <w:basedOn w:val="HeadingBase"/>
    <w:next w:val="Normal"/>
    <w:link w:val="Heading5Char"/>
    <w:qFormat/>
    <w:rsid w:val="00620F4E"/>
    <w:pPr>
      <w:spacing w:before="80"/>
      <w:outlineLvl w:val="4"/>
    </w:pPr>
    <w:rPr>
      <w:color w:val="918585"/>
      <w:sz w:val="20"/>
    </w:rPr>
  </w:style>
  <w:style w:type="paragraph" w:styleId="Heading6">
    <w:name w:val="heading 6"/>
    <w:basedOn w:val="HeadingBase"/>
    <w:next w:val="Normal"/>
    <w:link w:val="Heading6Char"/>
    <w:qFormat/>
    <w:rsid w:val="00620F4E"/>
    <w:pPr>
      <w:spacing w:before="60"/>
      <w:outlineLvl w:val="5"/>
    </w:pPr>
    <w:rPr>
      <w:color w:val="918585"/>
      <w:sz w:val="20"/>
    </w:rPr>
  </w:style>
  <w:style w:type="paragraph" w:styleId="Heading7">
    <w:name w:val="heading 7"/>
    <w:basedOn w:val="Normal"/>
    <w:next w:val="Normal"/>
    <w:link w:val="Heading7Char"/>
    <w:qFormat/>
    <w:rsid w:val="00620F4E"/>
    <w:pPr>
      <w:ind w:left="720"/>
      <w:outlineLvl w:val="6"/>
    </w:pPr>
    <w:rPr>
      <w:i/>
    </w:rPr>
  </w:style>
  <w:style w:type="paragraph" w:styleId="Heading8">
    <w:name w:val="heading 8"/>
    <w:basedOn w:val="Normal"/>
    <w:next w:val="Normal"/>
    <w:link w:val="Heading8Char"/>
    <w:qFormat/>
    <w:rsid w:val="00620F4E"/>
    <w:pPr>
      <w:ind w:left="720"/>
      <w:outlineLvl w:val="7"/>
    </w:pPr>
    <w:rPr>
      <w:i/>
    </w:rPr>
  </w:style>
  <w:style w:type="paragraph" w:styleId="Heading9">
    <w:name w:val="heading 9"/>
    <w:basedOn w:val="Normal"/>
    <w:next w:val="Normal"/>
    <w:link w:val="Heading9Char"/>
    <w:qFormat/>
    <w:rsid w:val="00620F4E"/>
    <w:pPr>
      <w:ind w:left="720"/>
      <w:outlineLvl w:val="8"/>
    </w:pPr>
    <w:rPr>
      <w:i/>
    </w:rPr>
  </w:style>
  <w:style w:type="character" w:default="1" w:styleId="DefaultParagraphFont">
    <w:name w:val="Default Paragraph Font"/>
    <w:uiPriority w:val="1"/>
    <w:unhideWhenUsed/>
    <w:rsid w:val="00620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F4E"/>
  </w:style>
  <w:style w:type="character" w:customStyle="1" w:styleId="Heading1Char">
    <w:name w:val="Heading 1 Char"/>
    <w:basedOn w:val="DefaultParagraphFont"/>
    <w:link w:val="Heading1"/>
    <w:rsid w:val="00620F4E"/>
    <w:rPr>
      <w:rFonts w:ascii="Times New Roman" w:eastAsia="Times New Roman" w:hAnsi="Times New Roman" w:cs="Times New Roman"/>
      <w:b/>
      <w:sz w:val="32"/>
      <w:szCs w:val="20"/>
      <w:lang w:eastAsia="en-US"/>
    </w:rPr>
  </w:style>
  <w:style w:type="paragraph" w:styleId="BodyText">
    <w:name w:val="Body Text"/>
    <w:basedOn w:val="Normal"/>
    <w:link w:val="BodyTextChar"/>
    <w:rsid w:val="00620F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F4E"/>
    <w:rPr>
      <w:rFonts w:ascii="Times New Roman" w:eastAsia="Times New Roman" w:hAnsi="Times New Roman" w:cs="Times New Roman"/>
      <w:sz w:val="24"/>
      <w:lang w:eastAsia="en-US"/>
    </w:rPr>
  </w:style>
  <w:style w:type="paragraph" w:styleId="ListBullet">
    <w:name w:val="List Bullet"/>
    <w:basedOn w:val="List"/>
    <w:rsid w:val="00620F4E"/>
    <w:pPr>
      <w:numPr>
        <w:numId w:val="12"/>
      </w:numPr>
      <w:tabs>
        <w:tab w:val="clear" w:pos="340"/>
      </w:tabs>
      <w:spacing w:before="40" w:after="40"/>
    </w:pPr>
  </w:style>
  <w:style w:type="character" w:customStyle="1" w:styleId="SpecialBold">
    <w:name w:val="Special Bold"/>
    <w:basedOn w:val="DefaultParagraphFont"/>
    <w:rsid w:val="00620F4E"/>
    <w:rPr>
      <w:b/>
      <w:spacing w:val="0"/>
    </w:rPr>
  </w:style>
  <w:style w:type="paragraph" w:styleId="ListBullet2">
    <w:name w:val="List Bullet 2"/>
    <w:basedOn w:val="List2"/>
    <w:rsid w:val="00620F4E"/>
    <w:pPr>
      <w:numPr>
        <w:numId w:val="13"/>
      </w:numPr>
      <w:tabs>
        <w:tab w:val="clear" w:pos="680"/>
      </w:tabs>
    </w:pPr>
  </w:style>
  <w:style w:type="paragraph" w:customStyle="1" w:styleId="SuperHeading">
    <w:name w:val="SuperHeading"/>
    <w:basedOn w:val="Normal"/>
    <w:rsid w:val="00620F4E"/>
    <w:pPr>
      <w:spacing w:before="240" w:after="120"/>
      <w:outlineLvl w:val="0"/>
    </w:pPr>
    <w:rPr>
      <w:rFonts w:ascii="Times New Roman" w:hAnsi="Times New Roman"/>
      <w:b/>
      <w:sz w:val="32"/>
    </w:rPr>
  </w:style>
  <w:style w:type="paragraph" w:customStyle="1" w:styleId="AllowPageBreak">
    <w:name w:val="AllowPageBreak"/>
    <w:rsid w:val="00620F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0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F4E"/>
    <w:rPr>
      <w:rFonts w:ascii="Courier New" w:eastAsia="Times New Roman" w:hAnsi="Courier New" w:cs="Times New Roman"/>
      <w:i/>
      <w:szCs w:val="20"/>
      <w:lang w:eastAsia="en-US"/>
    </w:rPr>
  </w:style>
  <w:style w:type="paragraph" w:customStyle="1" w:styleId="HeadingBase">
    <w:name w:val="Heading Base"/>
    <w:rsid w:val="00620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F4E"/>
    <w:pPr>
      <w:tabs>
        <w:tab w:val="right" w:leader="dot" w:pos="9072"/>
      </w:tabs>
      <w:ind w:left="567"/>
    </w:pPr>
    <w:rPr>
      <w:szCs w:val="22"/>
    </w:rPr>
  </w:style>
  <w:style w:type="paragraph" w:customStyle="1" w:styleId="TOCBase">
    <w:name w:val="TOC Base"/>
    <w:rsid w:val="00620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F4E"/>
    <w:pPr>
      <w:tabs>
        <w:tab w:val="right" w:leader="dot" w:pos="9072"/>
      </w:tabs>
      <w:spacing w:before="40" w:after="40"/>
      <w:ind w:left="284"/>
    </w:pPr>
    <w:rPr>
      <w:rFonts w:ascii="Times New Roman" w:hAnsi="Times New Roman"/>
    </w:rPr>
  </w:style>
  <w:style w:type="paragraph" w:styleId="TOC1">
    <w:name w:val="toc 1"/>
    <w:basedOn w:val="TOCBase"/>
    <w:next w:val="Normal"/>
    <w:rsid w:val="00620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F4E"/>
    <w:rPr>
      <w:rFonts w:ascii="Times New Roman" w:eastAsia="Times New Roman" w:hAnsi="Times New Roman" w:cs="Times New Roman"/>
      <w:sz w:val="16"/>
      <w:lang w:eastAsia="en-US"/>
    </w:rPr>
  </w:style>
  <w:style w:type="paragraph" w:styleId="Title">
    <w:name w:val="Title"/>
    <w:basedOn w:val="HeadingBase"/>
    <w:link w:val="TitleChar"/>
    <w:qFormat/>
    <w:rsid w:val="00620F4E"/>
    <w:pPr>
      <w:spacing w:before="5040"/>
      <w:jc w:val="center"/>
    </w:pPr>
    <w:rPr>
      <w:sz w:val="48"/>
      <w:szCs w:val="72"/>
      <w:lang w:val="en-US"/>
    </w:rPr>
  </w:style>
  <w:style w:type="character" w:customStyle="1" w:styleId="TitleChar">
    <w:name w:val="Title Char"/>
    <w:basedOn w:val="DefaultParagraphFont"/>
    <w:link w:val="Title"/>
    <w:rsid w:val="00620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F4E"/>
    <w:pPr>
      <w:tabs>
        <w:tab w:val="left" w:pos="3600"/>
        <w:tab w:val="left" w:pos="3958"/>
      </w:tabs>
    </w:pPr>
  </w:style>
  <w:style w:type="paragraph" w:styleId="List">
    <w:name w:val="List"/>
    <w:basedOn w:val="BodyText"/>
    <w:next w:val="BodyText"/>
    <w:rsid w:val="00620F4E"/>
    <w:pPr>
      <w:tabs>
        <w:tab w:val="left" w:pos="340"/>
      </w:tabs>
      <w:spacing w:before="60" w:after="60"/>
      <w:ind w:left="340" w:hanging="340"/>
    </w:pPr>
  </w:style>
  <w:style w:type="paragraph" w:customStyle="1" w:styleId="Note">
    <w:name w:val="Note"/>
    <w:basedOn w:val="BodyText"/>
    <w:rsid w:val="00620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F4E"/>
    <w:pPr>
      <w:framePr w:wrap="auto" w:hAnchor="text" w:y="6049"/>
    </w:pPr>
    <w:rPr>
      <w:color w:val="000000"/>
      <w:sz w:val="40"/>
    </w:rPr>
  </w:style>
  <w:style w:type="paragraph" w:customStyle="1" w:styleId="TOCTitle">
    <w:name w:val="TOCTitle"/>
    <w:basedOn w:val="Heading1"/>
    <w:rsid w:val="00620F4E"/>
    <w:pPr>
      <w:spacing w:after="240"/>
      <w:jc w:val="center"/>
      <w:outlineLvl w:val="9"/>
    </w:pPr>
    <w:rPr>
      <w:caps/>
    </w:rPr>
  </w:style>
  <w:style w:type="paragraph" w:customStyle="1" w:styleId="Version">
    <w:name w:val="Version"/>
    <w:rsid w:val="00620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F4E"/>
    <w:pPr>
      <w:keepNext w:val="0"/>
      <w:tabs>
        <w:tab w:val="right" w:pos="4176"/>
      </w:tabs>
      <w:ind w:left="198" w:hanging="198"/>
    </w:pPr>
    <w:rPr>
      <w:rFonts w:ascii="Garamond" w:hAnsi="Garamond"/>
    </w:rPr>
  </w:style>
  <w:style w:type="paragraph" w:styleId="IndexHeading">
    <w:name w:val="index heading"/>
    <w:basedOn w:val="Normal"/>
    <w:next w:val="Index1"/>
    <w:semiHidden/>
    <w:rsid w:val="00620F4E"/>
    <w:pPr>
      <w:spacing w:before="120" w:after="120"/>
    </w:pPr>
    <w:rPr>
      <w:rFonts w:ascii="Arial" w:hAnsi="Arial"/>
      <w:b/>
      <w:color w:val="918585"/>
      <w:sz w:val="24"/>
    </w:rPr>
  </w:style>
  <w:style w:type="paragraph" w:styleId="Header">
    <w:name w:val="header"/>
    <w:basedOn w:val="Normal"/>
    <w:link w:val="HeaderChar"/>
    <w:rsid w:val="00620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F4E"/>
    <w:rPr>
      <w:rFonts w:ascii="Times New Roman" w:eastAsia="Times New Roman" w:hAnsi="Times New Roman" w:cs="Times New Roman"/>
      <w:sz w:val="16"/>
      <w:szCs w:val="20"/>
      <w:lang w:val="en-GB" w:eastAsia="en-US"/>
    </w:rPr>
  </w:style>
  <w:style w:type="paragraph" w:customStyle="1" w:styleId="Chapter">
    <w:name w:val="Chapter"/>
    <w:basedOn w:val="Normal"/>
    <w:rsid w:val="00620F4E"/>
    <w:pPr>
      <w:spacing w:before="240"/>
    </w:pPr>
    <w:rPr>
      <w:rFonts w:ascii="Times New Roman" w:hAnsi="Times New Roman"/>
      <w:smallCaps/>
      <w:spacing w:val="80"/>
      <w:sz w:val="28"/>
    </w:rPr>
  </w:style>
  <w:style w:type="paragraph" w:customStyle="1" w:styleId="InChapter">
    <w:name w:val="InChapter"/>
    <w:basedOn w:val="Heading3"/>
    <w:rsid w:val="00620F4E"/>
    <w:pPr>
      <w:spacing w:after="240"/>
      <w:outlineLvl w:val="9"/>
    </w:pPr>
    <w:rPr>
      <w:noProof/>
    </w:rPr>
  </w:style>
  <w:style w:type="paragraph" w:styleId="Index2">
    <w:name w:val="index 2"/>
    <w:basedOn w:val="Normal"/>
    <w:next w:val="Normal"/>
    <w:semiHidden/>
    <w:rsid w:val="00620F4E"/>
    <w:pPr>
      <w:tabs>
        <w:tab w:val="right" w:pos="4176"/>
      </w:tabs>
      <w:ind w:left="568" w:hanging="284"/>
    </w:pPr>
    <w:rPr>
      <w:rFonts w:ascii="Garamond" w:hAnsi="Garamond"/>
    </w:rPr>
  </w:style>
  <w:style w:type="paragraph" w:customStyle="1" w:styleId="Byline">
    <w:name w:val="Byline"/>
    <w:rsid w:val="00620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F4E"/>
    <w:pPr>
      <w:tabs>
        <w:tab w:val="clear" w:pos="3600"/>
        <w:tab w:val="clear" w:pos="3958"/>
      </w:tabs>
      <w:jc w:val="right"/>
    </w:pPr>
  </w:style>
  <w:style w:type="character" w:styleId="Emphasis">
    <w:name w:val="Emphasis"/>
    <w:basedOn w:val="DefaultParagraphFont"/>
    <w:qFormat/>
    <w:rsid w:val="00620F4E"/>
    <w:rPr>
      <w:i/>
    </w:rPr>
  </w:style>
  <w:style w:type="paragraph" w:styleId="Caption">
    <w:name w:val="caption"/>
    <w:basedOn w:val="BodyText"/>
    <w:next w:val="Normal"/>
    <w:qFormat/>
    <w:rsid w:val="00620F4E"/>
    <w:pPr>
      <w:framePr w:w="2268" w:hSpace="181" w:vSpace="181" w:wrap="around" w:vAnchor="text" w:hAnchor="page" w:x="1135" w:y="285" w:anchorLock="1"/>
    </w:pPr>
    <w:rPr>
      <w:i/>
    </w:rPr>
  </w:style>
  <w:style w:type="paragraph" w:customStyle="1" w:styleId="MiniTOCTitle">
    <w:name w:val="MiniTOCTitle"/>
    <w:basedOn w:val="Heading4"/>
    <w:rsid w:val="00620F4E"/>
    <w:pPr>
      <w:spacing w:before="240"/>
      <w:outlineLvl w:val="9"/>
    </w:pPr>
    <w:rPr>
      <w:noProof/>
      <w:sz w:val="24"/>
    </w:rPr>
  </w:style>
  <w:style w:type="paragraph" w:customStyle="1" w:styleId="MiniTOCItem">
    <w:name w:val="MiniTOCItem"/>
    <w:basedOn w:val="ListBullet"/>
    <w:rsid w:val="00620F4E"/>
    <w:pPr>
      <w:numPr>
        <w:numId w:val="0"/>
      </w:numPr>
      <w:tabs>
        <w:tab w:val="right" w:leader="dot" w:pos="6521"/>
      </w:tabs>
      <w:spacing w:before="0" w:after="0"/>
    </w:pPr>
  </w:style>
  <w:style w:type="paragraph" w:customStyle="1" w:styleId="TOFTitle">
    <w:name w:val="TOFTitle"/>
    <w:basedOn w:val="TOCTitle"/>
    <w:rsid w:val="00620F4E"/>
  </w:style>
  <w:style w:type="paragraph" w:styleId="TableofFigures">
    <w:name w:val="table of figures"/>
    <w:basedOn w:val="Normal"/>
    <w:next w:val="Normal"/>
    <w:semiHidden/>
    <w:rsid w:val="00620F4E"/>
    <w:pPr>
      <w:tabs>
        <w:tab w:val="right" w:leader="dot" w:pos="9072"/>
      </w:tabs>
      <w:ind w:left="970" w:hanging="403"/>
    </w:pPr>
    <w:rPr>
      <w:rFonts w:ascii="Times New Roman" w:hAnsi="Times New Roman"/>
      <w:b/>
    </w:rPr>
  </w:style>
  <w:style w:type="paragraph" w:styleId="ListNumber">
    <w:name w:val="List Number"/>
    <w:basedOn w:val="List"/>
    <w:rsid w:val="00620F4E"/>
    <w:pPr>
      <w:numPr>
        <w:numId w:val="15"/>
      </w:numPr>
      <w:tabs>
        <w:tab w:val="clear" w:pos="340"/>
      </w:tabs>
    </w:pPr>
  </w:style>
  <w:style w:type="character" w:customStyle="1" w:styleId="WingdingSymbols">
    <w:name w:val="Wingding Symbols"/>
    <w:rsid w:val="00620F4E"/>
    <w:rPr>
      <w:rFonts w:ascii="Wingdings" w:hAnsi="Wingdings"/>
    </w:rPr>
  </w:style>
  <w:style w:type="paragraph" w:customStyle="1" w:styleId="TableHeading">
    <w:name w:val="Table Heading"/>
    <w:basedOn w:val="HeadingBase"/>
    <w:rsid w:val="00620F4E"/>
    <w:pPr>
      <w:keepLines/>
      <w:pBdr>
        <w:bottom w:val="single" w:sz="6" w:space="1" w:color="918585"/>
      </w:pBdr>
      <w:spacing w:before="240"/>
    </w:pPr>
  </w:style>
  <w:style w:type="character" w:customStyle="1" w:styleId="HotSpot">
    <w:name w:val="HotSpot"/>
    <w:rsid w:val="00620F4E"/>
    <w:rPr>
      <w:color w:val="0033CC"/>
      <w:u w:val="none"/>
    </w:rPr>
  </w:style>
  <w:style w:type="paragraph" w:customStyle="1" w:styleId="BodyTextRight">
    <w:name w:val="Body Text Right"/>
    <w:basedOn w:val="BodyText"/>
    <w:rsid w:val="00620F4E"/>
    <w:pPr>
      <w:spacing w:before="0" w:after="0"/>
      <w:jc w:val="right"/>
    </w:pPr>
  </w:style>
  <w:style w:type="paragraph" w:styleId="Index3">
    <w:name w:val="index 3"/>
    <w:basedOn w:val="ListNumber2"/>
    <w:next w:val="Normal"/>
    <w:semiHidden/>
    <w:rsid w:val="00620F4E"/>
    <w:pPr>
      <w:numPr>
        <w:numId w:val="0"/>
      </w:numPr>
      <w:tabs>
        <w:tab w:val="right" w:leader="dot" w:pos="4176"/>
      </w:tabs>
    </w:pPr>
  </w:style>
  <w:style w:type="paragraph" w:styleId="ListNumber2">
    <w:name w:val="List Number 2"/>
    <w:basedOn w:val="List2"/>
    <w:rsid w:val="00620F4E"/>
    <w:pPr>
      <w:numPr>
        <w:numId w:val="10"/>
      </w:numPr>
      <w:tabs>
        <w:tab w:val="clear" w:pos="1060"/>
      </w:tabs>
    </w:pPr>
  </w:style>
  <w:style w:type="paragraph" w:customStyle="1" w:styleId="MarginNote">
    <w:name w:val="Margin Note"/>
    <w:basedOn w:val="BodyText"/>
    <w:rsid w:val="00620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F4E"/>
    <w:rPr>
      <w:sz w:val="32"/>
    </w:rPr>
  </w:style>
  <w:style w:type="paragraph" w:customStyle="1" w:styleId="HeadingProcedure">
    <w:name w:val="Heading Procedure"/>
    <w:basedOn w:val="HeadingBase"/>
    <w:next w:val="Normal"/>
    <w:rsid w:val="00620F4E"/>
    <w:pPr>
      <w:tabs>
        <w:tab w:val="left" w:pos="0"/>
      </w:tabs>
      <w:spacing w:before="120" w:after="60"/>
    </w:pPr>
    <w:rPr>
      <w:i/>
      <w:color w:val="918585"/>
      <w:sz w:val="22"/>
    </w:rPr>
  </w:style>
  <w:style w:type="paragraph" w:customStyle="1" w:styleId="TableBodyText">
    <w:name w:val="Table Body Text"/>
    <w:basedOn w:val="BodyText"/>
    <w:rsid w:val="00620F4E"/>
    <w:pPr>
      <w:spacing w:before="60" w:after="60"/>
    </w:pPr>
  </w:style>
  <w:style w:type="paragraph" w:styleId="ListContinue">
    <w:name w:val="List Continue"/>
    <w:basedOn w:val="List"/>
    <w:rsid w:val="00620F4E"/>
    <w:pPr>
      <w:ind w:firstLine="0"/>
    </w:pPr>
  </w:style>
  <w:style w:type="paragraph" w:customStyle="1" w:styleId="ListNote">
    <w:name w:val="List Note"/>
    <w:basedOn w:val="List"/>
    <w:rsid w:val="00620F4E"/>
    <w:pPr>
      <w:pBdr>
        <w:top w:val="single" w:sz="6" w:space="2" w:color="918585"/>
        <w:bottom w:val="single" w:sz="6" w:space="2" w:color="918585"/>
      </w:pBdr>
      <w:tabs>
        <w:tab w:val="left" w:pos="1021"/>
      </w:tabs>
      <w:ind w:firstLine="0"/>
    </w:pPr>
  </w:style>
  <w:style w:type="paragraph" w:customStyle="1" w:styleId="Warning">
    <w:name w:val="Warning"/>
    <w:basedOn w:val="BodyText"/>
    <w:rsid w:val="00620F4E"/>
    <w:pPr>
      <w:shd w:val="clear" w:color="auto" w:fill="D9D9D9"/>
      <w:tabs>
        <w:tab w:val="left" w:pos="992"/>
      </w:tabs>
      <w:ind w:left="119" w:right="119"/>
    </w:pPr>
    <w:rPr>
      <w:sz w:val="20"/>
    </w:rPr>
  </w:style>
  <w:style w:type="paragraph" w:customStyle="1" w:styleId="MarginIcons">
    <w:name w:val="Margin Icons"/>
    <w:basedOn w:val="BodyText"/>
    <w:rsid w:val="00620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F4E"/>
    <w:rPr>
      <w:rFonts w:ascii="Courier New" w:hAnsi="Courier New"/>
    </w:rPr>
  </w:style>
  <w:style w:type="paragraph" w:customStyle="1" w:styleId="NoteBullet">
    <w:name w:val="Note Bullet"/>
    <w:basedOn w:val="Note"/>
    <w:rsid w:val="00620F4E"/>
    <w:pPr>
      <w:tabs>
        <w:tab w:val="clear" w:pos="680"/>
      </w:tabs>
      <w:spacing w:before="60" w:after="60"/>
    </w:pPr>
  </w:style>
  <w:style w:type="paragraph" w:customStyle="1" w:styleId="SubHeading2">
    <w:name w:val="SubHeading2"/>
    <w:basedOn w:val="HeadingBase"/>
    <w:rsid w:val="00620F4E"/>
    <w:pPr>
      <w:spacing w:before="240" w:after="60"/>
    </w:pPr>
    <w:rPr>
      <w:sz w:val="20"/>
    </w:rPr>
  </w:style>
  <w:style w:type="paragraph" w:customStyle="1" w:styleId="SubHeading1">
    <w:name w:val="SubHeading1"/>
    <w:basedOn w:val="HeadingBase"/>
    <w:rsid w:val="00620F4E"/>
    <w:pPr>
      <w:spacing w:before="240" w:after="60"/>
    </w:pPr>
    <w:rPr>
      <w:color w:val="918585"/>
      <w:sz w:val="22"/>
    </w:rPr>
  </w:style>
  <w:style w:type="paragraph" w:customStyle="1" w:styleId="SideHeading">
    <w:name w:val="Side Heading"/>
    <w:basedOn w:val="HeadingBase"/>
    <w:rsid w:val="00620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F4E"/>
    <w:pPr>
      <w:tabs>
        <w:tab w:val="num" w:pos="360"/>
      </w:tabs>
    </w:pPr>
  </w:style>
  <w:style w:type="paragraph" w:styleId="PlainText">
    <w:name w:val="Plain Text"/>
    <w:basedOn w:val="Normal"/>
    <w:link w:val="PlainTextChar"/>
    <w:rsid w:val="00620F4E"/>
    <w:rPr>
      <w:sz w:val="20"/>
    </w:rPr>
  </w:style>
  <w:style w:type="character" w:customStyle="1" w:styleId="PlainTextChar">
    <w:name w:val="Plain Text Char"/>
    <w:basedOn w:val="DefaultParagraphFont"/>
    <w:link w:val="PlainText"/>
    <w:rsid w:val="00620F4E"/>
    <w:rPr>
      <w:rFonts w:ascii="Courier New" w:eastAsia="Times New Roman" w:hAnsi="Courier New" w:cs="Times New Roman"/>
      <w:sz w:val="20"/>
      <w:szCs w:val="20"/>
      <w:lang w:eastAsia="en-US"/>
    </w:rPr>
  </w:style>
  <w:style w:type="character" w:customStyle="1" w:styleId="MenuOption">
    <w:name w:val="Menu Option"/>
    <w:basedOn w:val="DefaultParagraphFont"/>
    <w:rsid w:val="00620F4E"/>
    <w:rPr>
      <w:b/>
      <w:smallCaps/>
    </w:rPr>
  </w:style>
  <w:style w:type="paragraph" w:customStyle="1" w:styleId="TableListNumber">
    <w:name w:val="Table List Number"/>
    <w:basedOn w:val="ListNumber"/>
    <w:rsid w:val="00620F4E"/>
    <w:pPr>
      <w:numPr>
        <w:numId w:val="0"/>
      </w:numPr>
    </w:pPr>
  </w:style>
  <w:style w:type="paragraph" w:styleId="TOC4">
    <w:name w:val="toc 4"/>
    <w:basedOn w:val="TOCBase"/>
    <w:next w:val="Normal"/>
    <w:semiHidden/>
    <w:rsid w:val="00620F4E"/>
    <w:pPr>
      <w:tabs>
        <w:tab w:val="right" w:leader="dot" w:pos="9071"/>
      </w:tabs>
      <w:ind w:left="1701"/>
    </w:pPr>
  </w:style>
  <w:style w:type="paragraph" w:customStyle="1" w:styleId="ListAlpha">
    <w:name w:val="List Alpha"/>
    <w:basedOn w:val="List"/>
    <w:rsid w:val="00620F4E"/>
    <w:pPr>
      <w:numPr>
        <w:numId w:val="9"/>
      </w:numPr>
    </w:pPr>
  </w:style>
  <w:style w:type="paragraph" w:customStyle="1" w:styleId="ListAlpha2">
    <w:name w:val="List Alpha 2"/>
    <w:basedOn w:val="List2"/>
    <w:rsid w:val="00620F4E"/>
    <w:pPr>
      <w:numPr>
        <w:numId w:val="8"/>
      </w:numPr>
    </w:pPr>
  </w:style>
  <w:style w:type="paragraph" w:styleId="List2">
    <w:name w:val="List 2"/>
    <w:basedOn w:val="BodyText"/>
    <w:rsid w:val="00620F4E"/>
    <w:pPr>
      <w:tabs>
        <w:tab w:val="left" w:pos="680"/>
      </w:tabs>
      <w:spacing w:before="60" w:after="60"/>
      <w:ind w:left="680" w:hanging="340"/>
    </w:pPr>
  </w:style>
  <w:style w:type="paragraph" w:styleId="List3">
    <w:name w:val="List 3"/>
    <w:basedOn w:val="BodyText"/>
    <w:rsid w:val="00620F4E"/>
    <w:pPr>
      <w:tabs>
        <w:tab w:val="left" w:pos="1021"/>
      </w:tabs>
      <w:spacing w:before="60" w:after="60"/>
      <w:ind w:left="1020" w:hanging="340"/>
    </w:pPr>
  </w:style>
  <w:style w:type="paragraph" w:styleId="List4">
    <w:name w:val="List 4"/>
    <w:basedOn w:val="BodyText"/>
    <w:rsid w:val="00620F4E"/>
    <w:pPr>
      <w:tabs>
        <w:tab w:val="left" w:pos="1361"/>
      </w:tabs>
      <w:spacing w:before="60" w:after="60"/>
      <w:ind w:left="1361" w:hanging="340"/>
    </w:pPr>
  </w:style>
  <w:style w:type="paragraph" w:styleId="List5">
    <w:name w:val="List 5"/>
    <w:basedOn w:val="BodyText"/>
    <w:rsid w:val="00620F4E"/>
    <w:pPr>
      <w:tabs>
        <w:tab w:val="left" w:pos="1701"/>
      </w:tabs>
      <w:spacing w:before="60" w:after="60"/>
      <w:ind w:left="1701" w:hanging="340"/>
    </w:pPr>
  </w:style>
  <w:style w:type="paragraph" w:styleId="ListBullet3">
    <w:name w:val="List Bullet 3"/>
    <w:basedOn w:val="List3"/>
    <w:rsid w:val="00620F4E"/>
    <w:pPr>
      <w:numPr>
        <w:numId w:val="14"/>
      </w:numPr>
      <w:tabs>
        <w:tab w:val="clear" w:pos="1021"/>
      </w:tabs>
      <w:ind w:left="1037" w:hanging="357"/>
    </w:pPr>
  </w:style>
  <w:style w:type="paragraph" w:styleId="ListBullet4">
    <w:name w:val="List Bullet 4"/>
    <w:basedOn w:val="List4"/>
    <w:rsid w:val="00620F4E"/>
    <w:pPr>
      <w:numPr>
        <w:numId w:val="3"/>
      </w:numPr>
      <w:tabs>
        <w:tab w:val="clear" w:pos="1361"/>
      </w:tabs>
    </w:pPr>
  </w:style>
  <w:style w:type="paragraph" w:styleId="ListBullet5">
    <w:name w:val="List Bullet 5"/>
    <w:basedOn w:val="List5"/>
    <w:rsid w:val="00620F4E"/>
    <w:pPr>
      <w:numPr>
        <w:numId w:val="4"/>
      </w:numPr>
    </w:pPr>
  </w:style>
  <w:style w:type="paragraph" w:styleId="ListContinue2">
    <w:name w:val="List Continue 2"/>
    <w:basedOn w:val="List2"/>
    <w:rsid w:val="00620F4E"/>
    <w:pPr>
      <w:ind w:firstLine="0"/>
    </w:pPr>
  </w:style>
  <w:style w:type="paragraph" w:styleId="ListContinue3">
    <w:name w:val="List Continue 3"/>
    <w:basedOn w:val="List3"/>
    <w:rsid w:val="00620F4E"/>
    <w:pPr>
      <w:ind w:left="1021" w:firstLine="0"/>
    </w:pPr>
  </w:style>
  <w:style w:type="paragraph" w:styleId="ListContinue4">
    <w:name w:val="List Continue 4"/>
    <w:basedOn w:val="List4"/>
    <w:rsid w:val="00620F4E"/>
    <w:pPr>
      <w:ind w:firstLine="0"/>
    </w:pPr>
  </w:style>
  <w:style w:type="paragraph" w:styleId="ListContinue5">
    <w:name w:val="List Continue 5"/>
    <w:basedOn w:val="List5"/>
    <w:rsid w:val="00620F4E"/>
    <w:pPr>
      <w:ind w:firstLine="0"/>
    </w:pPr>
  </w:style>
  <w:style w:type="paragraph" w:styleId="ListNumber3">
    <w:name w:val="List Number 3"/>
    <w:basedOn w:val="List3"/>
    <w:rsid w:val="00620F4E"/>
    <w:pPr>
      <w:numPr>
        <w:numId w:val="5"/>
      </w:numPr>
    </w:pPr>
  </w:style>
  <w:style w:type="paragraph" w:styleId="ListNumber4">
    <w:name w:val="List Number 4"/>
    <w:basedOn w:val="List4"/>
    <w:rsid w:val="00620F4E"/>
    <w:pPr>
      <w:numPr>
        <w:numId w:val="6"/>
      </w:numPr>
    </w:pPr>
  </w:style>
  <w:style w:type="paragraph" w:styleId="ListNumber5">
    <w:name w:val="List Number 5"/>
    <w:basedOn w:val="List5"/>
    <w:rsid w:val="00620F4E"/>
    <w:pPr>
      <w:numPr>
        <w:numId w:val="7"/>
      </w:numPr>
    </w:pPr>
  </w:style>
  <w:style w:type="paragraph" w:styleId="BlockText">
    <w:name w:val="Block Text"/>
    <w:basedOn w:val="Normal"/>
    <w:rsid w:val="00620F4E"/>
    <w:pPr>
      <w:spacing w:after="120"/>
      <w:ind w:left="1440" w:right="1440"/>
    </w:pPr>
  </w:style>
  <w:style w:type="character" w:customStyle="1" w:styleId="Subscript">
    <w:name w:val="Subscript"/>
    <w:basedOn w:val="DefaultParagraphFont"/>
    <w:rsid w:val="00620F4E"/>
    <w:rPr>
      <w:sz w:val="16"/>
      <w:vertAlign w:val="subscript"/>
    </w:rPr>
  </w:style>
  <w:style w:type="character" w:customStyle="1" w:styleId="Superscript">
    <w:name w:val="Superscript"/>
    <w:basedOn w:val="DefaultParagraphFont"/>
    <w:rsid w:val="00620F4E"/>
    <w:rPr>
      <w:sz w:val="16"/>
      <w:vertAlign w:val="superscript"/>
    </w:rPr>
  </w:style>
  <w:style w:type="character" w:customStyle="1" w:styleId="Symbols">
    <w:name w:val="Symbols"/>
    <w:basedOn w:val="DefaultParagraphFont"/>
    <w:rsid w:val="00620F4E"/>
    <w:rPr>
      <w:rFonts w:ascii="Symbol" w:hAnsi="Symbol"/>
    </w:rPr>
  </w:style>
  <w:style w:type="character" w:customStyle="1" w:styleId="MenuOptions">
    <w:name w:val="Menu Options"/>
    <w:basedOn w:val="DefaultParagraphFont"/>
    <w:rsid w:val="00620F4E"/>
    <w:rPr>
      <w:rFonts w:ascii="Arial Narrow" w:hAnsi="Arial Narrow"/>
      <w:smallCaps/>
    </w:rPr>
  </w:style>
  <w:style w:type="character" w:customStyle="1" w:styleId="Buttons">
    <w:name w:val="Buttons"/>
    <w:basedOn w:val="DefaultParagraphFont"/>
    <w:rsid w:val="00620F4E"/>
    <w:rPr>
      <w:b/>
    </w:rPr>
  </w:style>
  <w:style w:type="character" w:customStyle="1" w:styleId="Underlined">
    <w:name w:val="Underlined"/>
    <w:basedOn w:val="DefaultParagraphFont"/>
    <w:rsid w:val="00620F4E"/>
    <w:rPr>
      <w:u w:val="single"/>
    </w:rPr>
  </w:style>
  <w:style w:type="paragraph" w:customStyle="1" w:styleId="TableBodyTextRight">
    <w:name w:val="Table Body Text Right"/>
    <w:basedOn w:val="TableBodyText"/>
    <w:rsid w:val="00620F4E"/>
    <w:pPr>
      <w:widowControl w:val="0"/>
      <w:autoSpaceDE w:val="0"/>
      <w:autoSpaceDN w:val="0"/>
      <w:adjustRightInd w:val="0"/>
      <w:jc w:val="right"/>
    </w:pPr>
    <w:rPr>
      <w:rFonts w:cs="Arial"/>
      <w:szCs w:val="18"/>
    </w:rPr>
  </w:style>
  <w:style w:type="paragraph" w:customStyle="1" w:styleId="CopyrightText">
    <w:name w:val="Copyright Text"/>
    <w:basedOn w:val="BodyText"/>
    <w:rsid w:val="00620F4E"/>
    <w:rPr>
      <w:sz w:val="18"/>
    </w:rPr>
  </w:style>
  <w:style w:type="paragraph" w:customStyle="1" w:styleId="BodySmallRight">
    <w:name w:val="Body Small Right"/>
    <w:basedOn w:val="BodyTextRight"/>
    <w:rsid w:val="00620F4E"/>
    <w:rPr>
      <w:sz w:val="18"/>
      <w:szCs w:val="18"/>
    </w:rPr>
  </w:style>
  <w:style w:type="paragraph" w:customStyle="1" w:styleId="MarginEdition">
    <w:name w:val="Margin Edition"/>
    <w:basedOn w:val="MarginNote"/>
    <w:rsid w:val="00620F4E"/>
    <w:pPr>
      <w:spacing w:before="0" w:after="0"/>
    </w:pPr>
    <w:rPr>
      <w:rFonts w:ascii="Times New Roman" w:hAnsi="Times New Roman"/>
      <w:color w:val="999999"/>
    </w:rPr>
  </w:style>
  <w:style w:type="paragraph" w:customStyle="1" w:styleId="Spacer">
    <w:name w:val="Spacer"/>
    <w:basedOn w:val="Normal"/>
    <w:rsid w:val="00620F4E"/>
    <w:rPr>
      <w:sz w:val="2"/>
      <w:szCs w:val="2"/>
    </w:rPr>
  </w:style>
  <w:style w:type="character" w:customStyle="1" w:styleId="Small">
    <w:name w:val="Small"/>
    <w:basedOn w:val="DefaultParagraphFont"/>
    <w:rsid w:val="00620F4E"/>
    <w:rPr>
      <w:sz w:val="16"/>
    </w:rPr>
  </w:style>
  <w:style w:type="paragraph" w:customStyle="1" w:styleId="WideTable">
    <w:name w:val="Wide Table"/>
    <w:basedOn w:val="Normal"/>
    <w:rsid w:val="00620F4E"/>
    <w:pPr>
      <w:ind w:left="-1418"/>
    </w:pPr>
    <w:rPr>
      <w:sz w:val="2"/>
      <w:szCs w:val="2"/>
    </w:rPr>
  </w:style>
  <w:style w:type="character" w:styleId="PageNumber">
    <w:name w:val="page number"/>
    <w:basedOn w:val="DefaultParagraphFont"/>
    <w:rsid w:val="00620F4E"/>
  </w:style>
  <w:style w:type="paragraph" w:styleId="Quote">
    <w:name w:val="Quote"/>
    <w:basedOn w:val="Heading1"/>
    <w:link w:val="QuoteChar"/>
    <w:qFormat/>
    <w:rsid w:val="00620F4E"/>
    <w:rPr>
      <w:b w:val="0"/>
      <w:sz w:val="72"/>
      <w:szCs w:val="72"/>
      <w:lang w:val="en-NZ"/>
    </w:rPr>
  </w:style>
  <w:style w:type="character" w:customStyle="1" w:styleId="QuoteChar">
    <w:name w:val="Quote Char"/>
    <w:basedOn w:val="DefaultParagraphFont"/>
    <w:link w:val="Quote"/>
    <w:rsid w:val="00620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F4E"/>
    <w:pPr>
      <w:pageBreakBefore/>
    </w:pPr>
  </w:style>
  <w:style w:type="paragraph" w:customStyle="1" w:styleId="Border">
    <w:name w:val="Border"/>
    <w:basedOn w:val="Normal"/>
    <w:qFormat/>
    <w:rsid w:val="00620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F4E"/>
    <w:rPr>
      <w:b/>
      <w:bCs/>
      <w:i/>
      <w:iCs/>
      <w:color w:val="auto"/>
    </w:rPr>
  </w:style>
  <w:style w:type="paragraph" w:styleId="IntenseQuote">
    <w:name w:val="Intense Quote"/>
    <w:basedOn w:val="Normal"/>
    <w:next w:val="Normal"/>
    <w:link w:val="IntenseQuoteChar"/>
    <w:uiPriority w:val="30"/>
    <w:qFormat/>
    <w:rsid w:val="00620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F4E"/>
    <w:rPr>
      <w:smallCaps/>
      <w:color w:val="auto"/>
      <w:u w:val="single"/>
    </w:rPr>
  </w:style>
  <w:style w:type="character" w:styleId="IntenseReference">
    <w:name w:val="Intense Reference"/>
    <w:basedOn w:val="DefaultParagraphFont"/>
    <w:uiPriority w:val="32"/>
    <w:qFormat/>
    <w:rsid w:val="00620F4E"/>
    <w:rPr>
      <w:b/>
      <w:bCs/>
      <w:smallCaps/>
      <w:color w:val="auto"/>
      <w:spacing w:val="5"/>
      <w:u w:val="single"/>
    </w:rPr>
  </w:style>
  <w:style w:type="paragraph" w:customStyle="1" w:styleId="2ColumnHeading">
    <w:name w:val="2Column Heading"/>
    <w:basedOn w:val="BodyText"/>
    <w:qFormat/>
    <w:rsid w:val="00620F4E"/>
    <w:pPr>
      <w:spacing w:after="60"/>
      <w:ind w:left="-2268"/>
    </w:pPr>
    <w:rPr>
      <w:b/>
    </w:rPr>
  </w:style>
  <w:style w:type="paragraph" w:customStyle="1" w:styleId="Heading1TOC">
    <w:name w:val="Heading1 TOC"/>
    <w:basedOn w:val="Normal"/>
    <w:qFormat/>
    <w:rsid w:val="00620F4E"/>
    <w:pPr>
      <w:spacing w:before="240" w:after="120"/>
    </w:pPr>
    <w:rPr>
      <w:rFonts w:ascii="Times New Roman" w:hAnsi="Times New Roman"/>
      <w:b/>
      <w:sz w:val="32"/>
    </w:rPr>
  </w:style>
  <w:style w:type="paragraph" w:customStyle="1" w:styleId="Heading2TOC">
    <w:name w:val="Heading2 TOC"/>
    <w:basedOn w:val="Normal"/>
    <w:qFormat/>
    <w:rsid w:val="00620F4E"/>
    <w:pPr>
      <w:spacing w:before="240" w:after="60"/>
    </w:pPr>
    <w:rPr>
      <w:rFonts w:ascii="Times New Roman" w:hAnsi="Times New Roman"/>
      <w:b/>
      <w:sz w:val="28"/>
    </w:rPr>
  </w:style>
  <w:style w:type="character" w:customStyle="1" w:styleId="Underline">
    <w:name w:val="Underline"/>
    <w:basedOn w:val="DefaultParagraphFont"/>
    <w:qFormat/>
    <w:rsid w:val="00620F4E"/>
    <w:rPr>
      <w:u w:val="single"/>
    </w:rPr>
  </w:style>
  <w:style w:type="character" w:customStyle="1" w:styleId="BoldandItalics">
    <w:name w:val="Bold and Italics"/>
    <w:qFormat/>
    <w:rsid w:val="00620F4E"/>
    <w:rPr>
      <w:b/>
      <w:i/>
      <w:u w:val="none"/>
    </w:rPr>
  </w:style>
  <w:style w:type="paragraph" w:styleId="BalloonText">
    <w:name w:val="Balloon Text"/>
    <w:basedOn w:val="Normal"/>
    <w:link w:val="BalloonTextChar"/>
    <w:rsid w:val="00620F4E"/>
    <w:rPr>
      <w:rFonts w:ascii="Tahoma" w:hAnsi="Tahoma" w:cs="Tahoma"/>
      <w:sz w:val="16"/>
      <w:szCs w:val="16"/>
    </w:rPr>
  </w:style>
  <w:style w:type="character" w:customStyle="1" w:styleId="BalloonTextChar">
    <w:name w:val="Balloon Text Char"/>
    <w:basedOn w:val="DefaultParagraphFont"/>
    <w:link w:val="BalloonText"/>
    <w:rsid w:val="00620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F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F4E"/>
    <w:rPr>
      <w:b/>
      <w:color w:val="660033"/>
      <w:spacing w:val="0"/>
    </w:rPr>
  </w:style>
  <w:style w:type="paragraph" w:customStyle="1" w:styleId="Nameditemlist">
    <w:name w:val="Named item list"/>
    <w:basedOn w:val="BodyText"/>
    <w:qFormat/>
    <w:rsid w:val="00620F4E"/>
    <w:pPr>
      <w:tabs>
        <w:tab w:val="left" w:pos="2835"/>
      </w:tabs>
      <w:ind w:left="2835" w:hanging="2835"/>
    </w:pPr>
  </w:style>
  <w:style w:type="paragraph" w:customStyle="1" w:styleId="BodyTextnopadding">
    <w:name w:val="Body Text no padding"/>
    <w:basedOn w:val="BodyText"/>
    <w:qFormat/>
    <w:rsid w:val="00620F4E"/>
    <w:pPr>
      <w:spacing w:before="0" w:after="0"/>
    </w:pPr>
  </w:style>
  <w:style w:type="paragraph" w:customStyle="1" w:styleId="BodyTextBold">
    <w:name w:val="Body Text Bold"/>
    <w:basedOn w:val="BodyText"/>
    <w:qFormat/>
    <w:rsid w:val="00620F4E"/>
    <w:rPr>
      <w:b/>
    </w:rPr>
  </w:style>
  <w:style w:type="character" w:styleId="Hyperlink">
    <w:name w:val="Hyperlink"/>
    <w:basedOn w:val="DefaultParagraphFont"/>
    <w:uiPriority w:val="99"/>
    <w:unhideWhenUsed/>
    <w:rsid w:val="00C90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10140</Characters>
  <Application>Microsoft Office Word</Application>
  <DocSecurity>0</DocSecurity>
  <Lines>338</Lines>
  <Paragraphs>168</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UETTDRTS30 Design power systems secondary isolation instructional documents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