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2D2E" w:rsidP="00742D2E">
      <w:pPr>
        <w:pStyle w:val="Title"/>
      </w:pPr>
      <w:r>
        <w:fldChar w:fldCharType="begin"/>
      </w:r>
      <w:r>
        <w:instrText xml:space="preserve"> TITLE   \* MERGEFORMAT </w:instrText>
      </w:r>
      <w:r>
        <w:fldChar w:fldCharType="separate"/>
      </w:r>
      <w:r>
        <w:t>UETTDRTS27 Perform accuracy checks on power systems instrument transformers</w:t>
      </w:r>
      <w:r>
        <w:fldChar w:fldCharType="end"/>
      </w:r>
    </w:p>
    <w:p w:rsidR="00742D2E" w:rsidP="00742D2E">
      <w:pPr>
        <w:pStyle w:val="Version"/>
        <w:sectPr w:rsidSect="000224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240E" w:rsidP="0002240E">
      <w:pPr>
        <w:pStyle w:val="SuperHeading"/>
      </w:pPr>
      <w:r w:rsidRPr="0002240E">
        <w:t>UETTDRTS27 Perform accuracy checks on power systems instrument transformers</w:t>
      </w:r>
    </w:p>
    <w:p w:rsidR="00000000" w:rsidRPr="0002240E" w:rsidP="0002240E">
      <w:pPr>
        <w:pStyle w:val="Heading1"/>
      </w:pPr>
      <w:bookmarkStart w:id="1" w:name="O_1005556"/>
      <w:bookmarkEnd w:id="1"/>
      <w:r w:rsidRPr="0002240E">
        <w:t>Modification History</w:t>
      </w:r>
    </w:p>
    <w:tbl>
      <w:tblPr>
        <w:tblW w:w="9497" w:type="dxa"/>
        <w:tblLayout w:type="fixed"/>
        <w:tblCellMar>
          <w:left w:w="62" w:type="dxa"/>
          <w:right w:w="62" w:type="dxa"/>
        </w:tblCellMar>
        <w:tblLook w:val="0000"/>
      </w:tblPr>
      <w:tblGrid>
        <w:gridCol w:w="9497"/>
      </w:tblGrid>
      <w:tr w:rsidTr="000224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240E" w:rsidP="0002240E">
            <w:pPr>
              <w:pStyle w:val="BodyText"/>
            </w:pPr>
            <w:r w:rsidRPr="0002240E">
              <w:t>Release 1. This is the first release of this unit of competency in the UET Transmission, Distribution and Rail Sector Training Package.</w:t>
            </w:r>
          </w:p>
        </w:tc>
      </w:tr>
    </w:tbl>
    <w:p w:rsidR="00000000" w:rsidRPr="0002240E" w:rsidP="0002240E">
      <w:pPr>
        <w:pStyle w:val="NoPaddingFontSize1"/>
      </w:pPr>
    </w:p>
    <w:p w:rsidR="00000000" w:rsidRPr="0002240E" w:rsidP="0002240E">
      <w:pPr>
        <w:pStyle w:val="AllowPageBreak"/>
      </w:pPr>
    </w:p>
    <w:p w:rsidR="00000000" w:rsidRPr="0002240E" w:rsidP="0002240E">
      <w:pPr>
        <w:pStyle w:val="Heading1"/>
      </w:pPr>
      <w:bookmarkStart w:id="2" w:name="O_1005557"/>
      <w:bookmarkEnd w:id="2"/>
      <w:r w:rsidRPr="0002240E">
        <w:t>Application</w:t>
      </w:r>
    </w:p>
    <w:tbl>
      <w:tblPr>
        <w:tblW w:w="9497" w:type="dxa"/>
        <w:tblLayout w:type="fixed"/>
        <w:tblCellMar>
          <w:left w:w="62" w:type="dxa"/>
          <w:right w:w="62" w:type="dxa"/>
        </w:tblCellMar>
        <w:tblLook w:val="0000"/>
      </w:tblPr>
      <w:tblGrid>
        <w:gridCol w:w="9497"/>
      </w:tblGrid>
      <w:tr w:rsidTr="000224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240E" w:rsidP="0002240E">
            <w:pPr>
              <w:pStyle w:val="BodyText"/>
            </w:pPr>
            <w:r w:rsidRPr="0002240E">
              <w:t>This unit covers undertaking accuracy checks on instrument transformers and includes proving their functionality. It also includes both current and voltage instrument transformers having various operating principles, which are</w:t>
            </w:r>
            <w:r w:rsidRPr="0002240E">
              <w:t xml:space="preserve"> designed for metering, protection, monitoring or control usage. It also encompasses tasks associated with the isolation from other secondary circuits, inspection, measurement of excitation curves, measurement of phase and ratio errors and comparison of re</w:t>
            </w:r>
            <w:r w:rsidRPr="0002240E">
              <w:t>sults with previous historical results and/or published specifications.</w:t>
            </w:r>
          </w:p>
          <w:p w:rsidR="00000000" w:rsidRPr="0002240E" w:rsidP="0002240E">
            <w:pPr>
              <w:pStyle w:val="BodyText"/>
            </w:pPr>
            <w:r w:rsidRPr="0002240E">
              <w:t xml:space="preserve">The application of the skills and knowledge described in this unit may require a licence/registration to practice in the workplace subject to regulations for undertaking of electrical </w:t>
            </w:r>
            <w:r w:rsidRPr="0002240E">
              <w:t xml:space="preserve">work.  </w:t>
            </w:r>
          </w:p>
          <w:p w:rsidR="00000000" w:rsidRPr="0002240E" w:rsidP="0002240E">
            <w:pPr>
              <w:pStyle w:val="BodyText"/>
            </w:pPr>
            <w:r w:rsidRPr="0002240E">
              <w:t>Other conditions may apply under state and territory legislative and regulatory licencing requirements which must be confirmed prior to commencing this unit.</w:t>
            </w:r>
          </w:p>
        </w:tc>
      </w:tr>
    </w:tbl>
    <w:p w:rsidR="00000000" w:rsidRPr="0002240E" w:rsidP="0002240E">
      <w:pPr>
        <w:pStyle w:val="NoPaddingFontSize1"/>
      </w:pPr>
    </w:p>
    <w:p w:rsidR="00000000" w:rsidRPr="0002240E" w:rsidP="0002240E">
      <w:pPr>
        <w:pStyle w:val="AllowPageBreak"/>
      </w:pPr>
    </w:p>
    <w:p w:rsidR="00000000" w:rsidRPr="0002240E" w:rsidP="0002240E">
      <w:pPr>
        <w:pStyle w:val="Heading1"/>
      </w:pPr>
      <w:bookmarkStart w:id="3" w:name="O_1005558"/>
      <w:bookmarkEnd w:id="3"/>
      <w:r w:rsidRPr="0002240E">
        <w:t>Pre-requisite Unit</w:t>
      </w:r>
    </w:p>
    <w:tbl>
      <w:tblPr>
        <w:tblW w:w="9497" w:type="dxa"/>
        <w:tblLayout w:type="fixed"/>
        <w:tblCellMar>
          <w:left w:w="62" w:type="dxa"/>
          <w:right w:w="62" w:type="dxa"/>
        </w:tblCellMar>
        <w:tblLook w:val="0000"/>
      </w:tblPr>
      <w:tblGrid>
        <w:gridCol w:w="9497"/>
      </w:tblGrid>
      <w:tr w:rsidTr="000224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240E" w:rsidP="0002240E">
            <w:pPr>
              <w:pStyle w:val="BodyText"/>
            </w:pPr>
            <w:r w:rsidRPr="0002240E">
              <w:t>Common Unit Group</w:t>
            </w:r>
          </w:p>
          <w:p w:rsidR="00000000" w:rsidRPr="0002240E" w:rsidP="0002240E">
            <w:pPr>
              <w:pStyle w:val="BodyText"/>
            </w:pPr>
            <w:r w:rsidRPr="0002240E">
              <w:t>UEENEED104A Use engineering appl</w:t>
            </w:r>
            <w:r w:rsidRPr="0002240E">
              <w:t>ications software on personal computers</w:t>
            </w:r>
          </w:p>
          <w:p w:rsidR="00000000" w:rsidRPr="0002240E" w:rsidP="0002240E">
            <w:pPr>
              <w:pStyle w:val="BodyText"/>
            </w:pPr>
            <w:r w:rsidRPr="0002240E">
              <w:t>UEENEEE101A Apply Occupational Health and Safety regulations, codes and practices in the workplace</w:t>
            </w:r>
          </w:p>
          <w:p w:rsidR="00000000" w:rsidRPr="0002240E" w:rsidP="0002240E">
            <w:pPr>
              <w:pStyle w:val="BodyText"/>
            </w:pPr>
            <w:r w:rsidRPr="0002240E">
              <w:t>UEENEEE102A Fabricate, assemble and dismantle utilities industry components</w:t>
            </w:r>
          </w:p>
          <w:p w:rsidR="00000000" w:rsidRPr="0002240E" w:rsidP="0002240E">
            <w:pPr>
              <w:pStyle w:val="BodyText"/>
            </w:pPr>
            <w:r w:rsidRPr="0002240E">
              <w:t>UEENEEE104A Solve problems in d.c. circui</w:t>
            </w:r>
            <w:r w:rsidRPr="0002240E">
              <w:t>ts</w:t>
            </w:r>
          </w:p>
          <w:p w:rsidR="00000000" w:rsidRPr="0002240E" w:rsidP="0002240E">
            <w:pPr>
              <w:pStyle w:val="BodyText"/>
            </w:pPr>
            <w:r w:rsidRPr="0002240E">
              <w:t>UEENEEE107A Use drawings, diagrams, schedules, standards, codes and specifications</w:t>
            </w:r>
          </w:p>
          <w:p w:rsidR="00000000" w:rsidRPr="0002240E" w:rsidP="0002240E">
            <w:pPr>
              <w:pStyle w:val="BodyText"/>
            </w:pPr>
            <w:r w:rsidRPr="0002240E">
              <w:t>UEENEEE124A Compile and produce an energy sector detailed report</w:t>
            </w:r>
          </w:p>
          <w:p w:rsidR="00000000" w:rsidRPr="0002240E" w:rsidP="0002240E">
            <w:pPr>
              <w:pStyle w:val="BodyText"/>
            </w:pPr>
            <w:r w:rsidRPr="0002240E">
              <w:t>UEENEEE125A Provide engineering solutions for problems in complex multiple path circuits</w:t>
            </w:r>
          </w:p>
          <w:p w:rsidR="00000000" w:rsidRPr="0002240E" w:rsidP="0002240E">
            <w:pPr>
              <w:pStyle w:val="BodyText"/>
            </w:pPr>
            <w:r w:rsidRPr="0002240E">
              <w:t>UEENEEE126A Prov</w:t>
            </w:r>
            <w:r w:rsidRPr="0002240E">
              <w:t>ide solutions to basic engineering computational problems</w:t>
            </w:r>
          </w:p>
          <w:p w:rsidR="00000000" w:rsidRPr="0002240E" w:rsidP="0002240E">
            <w:pPr>
              <w:pStyle w:val="BodyText"/>
            </w:pPr>
            <w:r w:rsidRPr="0002240E">
              <w:t>UEENEEG101A Solve problems in electromagnetic devices and related circuits</w:t>
            </w:r>
          </w:p>
          <w:p w:rsidR="00000000" w:rsidRPr="0002240E" w:rsidP="0002240E">
            <w:pPr>
              <w:pStyle w:val="BodyText"/>
            </w:pPr>
            <w:r w:rsidRPr="0002240E">
              <w:t>UEENEEG102A Solve problems in low voltage a.c. circuits</w:t>
            </w:r>
          </w:p>
          <w:p w:rsidR="00000000" w:rsidRPr="0002240E" w:rsidP="0002240E">
            <w:pPr>
              <w:pStyle w:val="BodyText"/>
            </w:pPr>
            <w:r w:rsidRPr="0002240E">
              <w:t>UEENEEG149A Provide engineering solutions to problems in complex polyphase power circuits</w:t>
            </w:r>
          </w:p>
          <w:p w:rsidR="00000000" w:rsidRPr="0002240E" w:rsidP="0002240E">
            <w:pPr>
              <w:pStyle w:val="BodyText"/>
            </w:pPr>
            <w:r w:rsidRPr="0002240E">
              <w:t>UETTDREL11 Apply sustainable energy and environmental procedures</w:t>
            </w:r>
          </w:p>
          <w:p w:rsidR="00000000" w:rsidRPr="0002240E" w:rsidP="0002240E">
            <w:pPr>
              <w:pStyle w:val="BodyText"/>
            </w:pPr>
            <w:r w:rsidRPr="0002240E">
              <w:t>UETTDREL16 Working safely near live electrical apparatus</w:t>
            </w:r>
          </w:p>
          <w:p w:rsidR="00000000" w:rsidRPr="0002240E" w:rsidP="0002240E">
            <w:pPr>
              <w:pStyle w:val="BodyText"/>
            </w:pPr>
            <w:r w:rsidRPr="0002240E">
              <w:t>UETTDRIS62 Implement and monitor the power s</w:t>
            </w:r>
            <w:r w:rsidRPr="0002240E">
              <w:t>ystem organisational WHS/OHS policies, procedures and programs</w:t>
            </w:r>
          </w:p>
          <w:p w:rsidR="00000000" w:rsidRPr="0002240E" w:rsidP="0002240E">
            <w:pPr>
              <w:pStyle w:val="BodyText"/>
            </w:pPr>
            <w:r w:rsidRPr="0002240E">
              <w:t>UETTDRIS63 Implement &amp; monitor power system environmental &amp; sustainable energy management policies &amp; procedures</w:t>
            </w:r>
          </w:p>
        </w:tc>
      </w:tr>
    </w:tbl>
    <w:p w:rsidR="00000000" w:rsidRPr="0002240E" w:rsidP="0002240E">
      <w:pPr>
        <w:pStyle w:val="NoPaddingFontSize1"/>
      </w:pPr>
    </w:p>
    <w:p w:rsidR="00000000" w:rsidRPr="0002240E" w:rsidP="0002240E">
      <w:pPr>
        <w:pStyle w:val="AllowPageBreak"/>
      </w:pPr>
    </w:p>
    <w:p w:rsidR="00000000" w:rsidRPr="0002240E" w:rsidP="0002240E">
      <w:pPr>
        <w:pStyle w:val="Heading1"/>
      </w:pPr>
      <w:bookmarkStart w:id="4" w:name="O_1005559"/>
      <w:bookmarkEnd w:id="4"/>
      <w:r w:rsidRPr="0002240E">
        <w:t>Competency Field</w:t>
      </w:r>
    </w:p>
    <w:tbl>
      <w:tblPr>
        <w:tblW w:w="9497" w:type="dxa"/>
        <w:tblLayout w:type="fixed"/>
        <w:tblCellMar>
          <w:left w:w="62" w:type="dxa"/>
          <w:right w:w="62" w:type="dxa"/>
        </w:tblCellMar>
        <w:tblLook w:val="0000"/>
      </w:tblPr>
      <w:tblGrid>
        <w:gridCol w:w="9497"/>
      </w:tblGrid>
      <w:tr w:rsidTr="000224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240E" w:rsidP="0002240E">
            <w:pPr>
              <w:pStyle w:val="BodyText"/>
            </w:pPr>
            <w:r w:rsidRPr="0002240E">
              <w:t>Testing</w:t>
            </w:r>
          </w:p>
        </w:tc>
      </w:tr>
    </w:tbl>
    <w:p w:rsidR="00000000" w:rsidRPr="0002240E" w:rsidP="0002240E">
      <w:pPr>
        <w:pStyle w:val="NoPaddingFontSize1"/>
      </w:pPr>
    </w:p>
    <w:p w:rsidR="00000000" w:rsidRPr="0002240E" w:rsidP="0002240E">
      <w:pPr>
        <w:pStyle w:val="AllowPageBreak"/>
      </w:pPr>
    </w:p>
    <w:p w:rsidR="00000000" w:rsidRPr="0002240E" w:rsidP="0002240E">
      <w:pPr>
        <w:pStyle w:val="Heading1"/>
      </w:pPr>
      <w:bookmarkStart w:id="5" w:name="O_1005560"/>
      <w:bookmarkEnd w:id="5"/>
      <w:r w:rsidRPr="0002240E">
        <w:t>Unit Sector</w:t>
      </w:r>
    </w:p>
    <w:tbl>
      <w:tblPr>
        <w:tblW w:w="9497" w:type="dxa"/>
        <w:tblLayout w:type="fixed"/>
        <w:tblCellMar>
          <w:left w:w="62" w:type="dxa"/>
          <w:right w:w="62" w:type="dxa"/>
        </w:tblCellMar>
        <w:tblLook w:val="0000"/>
      </w:tblPr>
      <w:tblGrid>
        <w:gridCol w:w="9497"/>
      </w:tblGrid>
      <w:tr w:rsidTr="000224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240E" w:rsidP="0002240E">
            <w:pPr>
              <w:pStyle w:val="BodyText"/>
            </w:pPr>
            <w:r w:rsidRPr="0002240E">
              <w:t>No</w:t>
            </w:r>
            <w:r w:rsidRPr="0002240E">
              <w:t>t applicable.</w:t>
            </w:r>
          </w:p>
        </w:tc>
      </w:tr>
    </w:tbl>
    <w:p w:rsidR="00000000" w:rsidRPr="0002240E" w:rsidP="0002240E">
      <w:pPr>
        <w:pStyle w:val="NoPaddingFontSize1"/>
      </w:pPr>
    </w:p>
    <w:p w:rsidR="00000000" w:rsidRPr="0002240E" w:rsidP="0002240E">
      <w:pPr>
        <w:pStyle w:val="AllowPageBreak"/>
      </w:pPr>
    </w:p>
    <w:p w:rsidR="00000000" w:rsidRPr="0002240E" w:rsidP="0002240E">
      <w:pPr>
        <w:pStyle w:val="Heading1"/>
      </w:pPr>
      <w:bookmarkStart w:id="6" w:name="O_1005561"/>
      <w:bookmarkEnd w:id="6"/>
      <w:r w:rsidRPr="0002240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2240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2240E" w:rsidP="0002240E">
            <w:pPr>
              <w:pStyle w:val="BodyText"/>
            </w:pPr>
            <w:r w:rsidRPr="0002240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rPr>
                <w:rStyle w:val="SpecialBold"/>
              </w:rPr>
              <w:t>PERFORMANCE CRITERIA</w:t>
            </w:r>
          </w:p>
        </w:tc>
      </w:tr>
      <w:tr w:rsidTr="0002240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t>Performance criteria describe the performance needed to demonstrate achievement of the element.</w:t>
            </w:r>
          </w:p>
        </w:tc>
      </w:tr>
      <w:tr w:rsidTr="000224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2240E" w:rsidP="0002240E">
            <w:pPr>
              <w:pStyle w:val="BodyText"/>
            </w:pPr>
            <w:r w:rsidRPr="0002240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2240E" w:rsidP="0002240E">
            <w:pPr>
              <w:pStyle w:val="BodyText"/>
            </w:pPr>
            <w:r w:rsidRPr="0002240E">
              <w:rPr>
                <w:rStyle w:val="SpecialBold"/>
              </w:rPr>
              <w:t>Plan for accuracy checks on instrument transformers</w:t>
            </w:r>
          </w:p>
        </w:tc>
        <w:tc>
          <w:tcPr>
            <w:tcW w:w="697"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t>Work health and safety (WHS)/occupational health and safety (OHS) practices/procedures and environmental and sustainable energy procedures, which may influence the performance of accuracy checks on in</w:t>
            </w:r>
            <w:r w:rsidRPr="0002240E">
              <w:t>strument transformers, are reviewed and determined</w:t>
            </w:r>
          </w:p>
        </w:tc>
      </w:tr>
      <w:tr w:rsidTr="000224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24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t>Purpose of the performance of accuracy checks on instrument transformers is established after data is analysed and expected outcomes of the work are confirmed with appropriate personnel</w:t>
            </w:r>
          </w:p>
        </w:tc>
      </w:tr>
      <w:tr w:rsidTr="000224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24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t>Organisational established procedures on policies and specifications for the performance of accuracy checks on instrument transformers are obtained or established with appropriate personnel</w:t>
            </w:r>
          </w:p>
        </w:tc>
      </w:tr>
      <w:tr w:rsidTr="000224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24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t>Testing procedures are discussed with/directed to appropria</w:t>
            </w:r>
            <w:r w:rsidRPr="0002240E">
              <w:t>te personnel in order to ascertain the project brief</w:t>
            </w:r>
          </w:p>
        </w:tc>
      </w:tr>
      <w:tr w:rsidTr="000224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24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t>Testing parameters are established from organisational established procedures and policies and specifications</w:t>
            </w:r>
          </w:p>
        </w:tc>
      </w:tr>
      <w:tr w:rsidTr="000224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24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t>Equipment/tools and personal protective equipment (PPE) are selected based on s</w:t>
            </w:r>
            <w:r w:rsidRPr="0002240E">
              <w:t xml:space="preserve">pecified performance </w:t>
            </w:r>
            <w:r w:rsidRPr="0002240E">
              <w:t>criteria and established procedures</w:t>
            </w:r>
          </w:p>
        </w:tc>
      </w:tr>
      <w:tr w:rsidTr="000224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24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t>Work roles and tasks are allocated according to requirements and individual competencies</w:t>
            </w:r>
          </w:p>
        </w:tc>
      </w:tr>
      <w:tr w:rsidTr="000224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24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t>Work is prioritised and sequenced for the most efficient/effective outcome, completed within an acceptable timeframe, to a quality standard and in accordance with established procedures</w:t>
            </w:r>
          </w:p>
        </w:tc>
      </w:tr>
      <w:tr w:rsidTr="000224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24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t>Liaison and communication issues with others/authorised personn</w:t>
            </w:r>
            <w:r w:rsidRPr="0002240E">
              <w:t>el, authorities, clients and land owners are resolved and activities coordinated to carry out work</w:t>
            </w:r>
          </w:p>
        </w:tc>
      </w:tr>
      <w:tr w:rsidTr="000224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24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t>Risk control measures are identified, prioritised and evaluated against the work schedule</w:t>
            </w:r>
          </w:p>
        </w:tc>
      </w:tr>
      <w:tr w:rsidTr="000224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24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t>Relevant work permits are secured to coordinate the performance of work according to requirements and/or established procedures</w:t>
            </w:r>
          </w:p>
        </w:tc>
      </w:tr>
      <w:tr w:rsidTr="000224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2240E" w:rsidP="0002240E">
            <w:pPr>
              <w:pStyle w:val="BodyText"/>
            </w:pPr>
            <w:r w:rsidRPr="0002240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2240E" w:rsidP="0002240E">
            <w:pPr>
              <w:pStyle w:val="BodyText"/>
            </w:pPr>
            <w:r w:rsidRPr="0002240E">
              <w:rPr>
                <w:rStyle w:val="SpecialBold"/>
              </w:rPr>
              <w:t>Carry out accuracy checks on instrument transformers</w:t>
            </w:r>
          </w:p>
        </w:tc>
        <w:tc>
          <w:tcPr>
            <w:tcW w:w="697"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t>Circuit/systems modelling is used to evaluate alternative proposals in accordance with established procedures</w:t>
            </w:r>
          </w:p>
        </w:tc>
      </w:tr>
      <w:tr w:rsidTr="000224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24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t>WHS/OHS and sustainable energy principles, functionality and practices to reduce the incidents of accidents and minimise waste are incorpor</w:t>
            </w:r>
            <w:r w:rsidRPr="0002240E">
              <w:t>ated into the project in accordance with requirements and/or established procedures</w:t>
            </w:r>
          </w:p>
        </w:tc>
      </w:tr>
      <w:tr w:rsidTr="000224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24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t>Performance of accuracy checks on instrument transformer decisions are made on the basis of safety and effective outcomes according to requirements and/or establishe</w:t>
            </w:r>
            <w:r w:rsidRPr="0002240E">
              <w:t>d procedures</w:t>
            </w:r>
          </w:p>
        </w:tc>
      </w:tr>
      <w:tr w:rsidTr="000224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24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t>Mathematical and/or engineering models of the performance of accuracy checks on instrument transformers are used to analyse the effectiveness of the finished project in accordance with requirements and established procedures</w:t>
            </w:r>
          </w:p>
        </w:tc>
      </w:tr>
      <w:tr w:rsidTr="000224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24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t>Technical advice is given regarding potential hazards, safety risks and control measures so that monitoring and preventative action can be undertaken and/or appropriate authorities consulted, where necessary, in accordance with requirements and established</w:t>
            </w:r>
            <w:r w:rsidRPr="0002240E">
              <w:t xml:space="preserve"> procedures</w:t>
            </w:r>
          </w:p>
        </w:tc>
      </w:tr>
      <w:tr w:rsidTr="000224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24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t>Essential knowledge and associated skills are applied to analyse specific data and compare it with compliance specifications to ensure completion of the project within an agreed timeframe according to requirements</w:t>
            </w:r>
          </w:p>
        </w:tc>
      </w:tr>
      <w:tr w:rsidTr="000224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24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t xml:space="preserve">Accuracy checks </w:t>
            </w:r>
            <w:r w:rsidRPr="0002240E">
              <w:t>on instrument transformers are undertaken according to requirements and established procedures</w:t>
            </w:r>
          </w:p>
        </w:tc>
      </w:tr>
      <w:tr w:rsidTr="000224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24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t>Work teams/groups are arranged/coordinated/evaluated to ensure planned goals are met according to established procedures</w:t>
            </w:r>
          </w:p>
        </w:tc>
      </w:tr>
      <w:tr w:rsidTr="000224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24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t>Solutions to non-routine problems are identified and actioned, using acquired essential knowledge and associated skills, according to requirements</w:t>
            </w:r>
          </w:p>
        </w:tc>
      </w:tr>
      <w:tr w:rsidTr="000224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24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t>Quality of work is monitored against personal performance agreement and/or established organisational</w:t>
            </w:r>
            <w:r w:rsidRPr="0002240E">
              <w:t xml:space="preserve"> and professional standards</w:t>
            </w:r>
          </w:p>
        </w:tc>
      </w:tr>
      <w:tr w:rsidTr="000224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24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t>Strategic plans are developed incorporating organisation initiatives in accordance with established procedures</w:t>
            </w:r>
          </w:p>
        </w:tc>
      </w:tr>
      <w:tr w:rsidTr="000224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2240E" w:rsidP="0002240E">
            <w:pPr>
              <w:pStyle w:val="BodyText"/>
            </w:pPr>
            <w:r w:rsidRPr="0002240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2240E" w:rsidP="0002240E">
            <w:pPr>
              <w:pStyle w:val="BodyText"/>
            </w:pPr>
            <w:r w:rsidRPr="0002240E">
              <w:rPr>
                <w:rStyle w:val="SpecialBold"/>
              </w:rPr>
              <w:t>Complete the performance of accuracy checks on instrument transformers</w:t>
            </w:r>
          </w:p>
        </w:tc>
        <w:tc>
          <w:tcPr>
            <w:tcW w:w="697"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t>Final review of test results on</w:t>
            </w:r>
            <w:r w:rsidRPr="0002240E">
              <w:t xml:space="preserve"> instrument transformers is undertaken to ensure they comply with all requirements and includes all specifications and documentations needed to complete the project</w:t>
            </w:r>
          </w:p>
        </w:tc>
      </w:tr>
      <w:tr w:rsidTr="000224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24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t>Appropriate personnel are notified of completion and reports and/or completion documents are finalised/commissioned</w:t>
            </w:r>
          </w:p>
        </w:tc>
      </w:tr>
      <w:tr w:rsidTr="000224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24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t>Reports and/or completion documents are submitted to relevant personnel/organisations for approval and, where applicable, statutory o</w:t>
            </w:r>
            <w:r w:rsidRPr="0002240E">
              <w:t>r regulatory approval</w:t>
            </w:r>
          </w:p>
        </w:tc>
      </w:tr>
      <w:tr w:rsidTr="000224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24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240E">
            <w:pPr>
              <w:pStyle w:val="BodyText"/>
              <w:rPr>
                <w:lang w:val="en-NZ"/>
              </w:rPr>
            </w:pPr>
            <w:r w:rsidRPr="0002240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02240E" w:rsidP="0002240E">
            <w:pPr>
              <w:pStyle w:val="BodyText"/>
            </w:pPr>
            <w:r w:rsidRPr="0002240E">
              <w:t>Approved copies of the performance of accuracy checks on instrument transformers documents are issued and records are updated in accordance with established procedures</w:t>
            </w:r>
          </w:p>
        </w:tc>
      </w:tr>
    </w:tbl>
    <w:p w:rsidR="00000000" w:rsidRPr="0002240E" w:rsidP="0002240E">
      <w:pPr>
        <w:pStyle w:val="NoPaddingFontSize1"/>
      </w:pPr>
    </w:p>
    <w:p w:rsidR="00000000" w:rsidRPr="0002240E" w:rsidP="0002240E">
      <w:pPr>
        <w:pStyle w:val="AllowPageBreak"/>
      </w:pPr>
    </w:p>
    <w:p w:rsidR="00000000" w:rsidRPr="0002240E" w:rsidP="0002240E">
      <w:pPr>
        <w:pStyle w:val="Heading1"/>
      </w:pPr>
      <w:bookmarkStart w:id="7" w:name="O_1005562"/>
      <w:bookmarkEnd w:id="7"/>
      <w:r w:rsidRPr="0002240E">
        <w:t>Foundation Skills</w:t>
      </w:r>
    </w:p>
    <w:tbl>
      <w:tblPr>
        <w:tblW w:w="9497" w:type="dxa"/>
        <w:tblLayout w:type="fixed"/>
        <w:tblCellMar>
          <w:left w:w="62" w:type="dxa"/>
          <w:right w:w="62" w:type="dxa"/>
        </w:tblCellMar>
        <w:tblLook w:val="0000"/>
      </w:tblPr>
      <w:tblGrid>
        <w:gridCol w:w="9497"/>
      </w:tblGrid>
      <w:tr w:rsidTr="000224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240E" w:rsidP="0002240E">
            <w:pPr>
              <w:pStyle w:val="BodyText"/>
            </w:pPr>
            <w:r w:rsidRPr="0002240E">
              <w:t>Foundation skills es</w:t>
            </w:r>
            <w:r w:rsidRPr="0002240E">
              <w:t>sential to performance are explicit in the performance criteria of this unit of competency.</w:t>
            </w:r>
          </w:p>
        </w:tc>
      </w:tr>
    </w:tbl>
    <w:p w:rsidR="00000000" w:rsidRPr="0002240E" w:rsidP="0002240E">
      <w:pPr>
        <w:pStyle w:val="NoPaddingFontSize1"/>
      </w:pPr>
    </w:p>
    <w:p w:rsidR="00000000" w:rsidRPr="0002240E" w:rsidP="0002240E">
      <w:pPr>
        <w:pStyle w:val="AllowPageBreak"/>
      </w:pPr>
    </w:p>
    <w:p w:rsidR="00000000" w:rsidRPr="0002240E" w:rsidP="0002240E">
      <w:pPr>
        <w:pStyle w:val="Heading1"/>
      </w:pPr>
      <w:bookmarkStart w:id="8" w:name="O_1005563"/>
      <w:bookmarkEnd w:id="8"/>
      <w:r w:rsidRPr="0002240E">
        <w:t>Range of Conditions</w:t>
      </w:r>
    </w:p>
    <w:tbl>
      <w:tblPr>
        <w:tblW w:w="9497" w:type="dxa"/>
        <w:tblLayout w:type="fixed"/>
        <w:tblCellMar>
          <w:left w:w="62" w:type="dxa"/>
          <w:right w:w="62" w:type="dxa"/>
        </w:tblCellMar>
        <w:tblLook w:val="0000"/>
      </w:tblPr>
      <w:tblGrid>
        <w:gridCol w:w="9497"/>
      </w:tblGrid>
      <w:tr w:rsidTr="000224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240E" w:rsidP="0002240E">
            <w:pPr>
              <w:pStyle w:val="BodyText"/>
            </w:pPr>
            <w:r w:rsidRPr="0002240E">
              <w:t>Range is restricted to essential operating conditions and any other variables essential to the work environment.</w:t>
            </w:r>
          </w:p>
          <w:p w:rsidR="00000000" w:rsidRPr="0002240E" w:rsidP="0002240E">
            <w:pPr>
              <w:pStyle w:val="BodyText"/>
            </w:pPr>
            <w:r w:rsidRPr="0002240E">
              <w:t>Non-essential conditions may be found in the Companion Volume Implementation Guide.</w:t>
            </w:r>
          </w:p>
        </w:tc>
      </w:tr>
    </w:tbl>
    <w:p w:rsidR="00000000" w:rsidRPr="0002240E" w:rsidP="0002240E">
      <w:pPr>
        <w:pStyle w:val="NoPaddingFontSize1"/>
      </w:pPr>
    </w:p>
    <w:p w:rsidR="00000000" w:rsidRPr="0002240E" w:rsidP="0002240E">
      <w:pPr>
        <w:pStyle w:val="AllowPageBreak"/>
      </w:pPr>
    </w:p>
    <w:p w:rsidR="00000000" w:rsidRPr="0002240E" w:rsidP="0002240E">
      <w:pPr>
        <w:pStyle w:val="Heading1"/>
      </w:pPr>
      <w:bookmarkStart w:id="9" w:name="O_1005564"/>
      <w:bookmarkEnd w:id="9"/>
      <w:r w:rsidRPr="0002240E">
        <w:t>Unit Mapping Information</w:t>
      </w:r>
    </w:p>
    <w:tbl>
      <w:tblPr>
        <w:tblW w:w="9497" w:type="dxa"/>
        <w:tblLayout w:type="fixed"/>
        <w:tblCellMar>
          <w:left w:w="62" w:type="dxa"/>
          <w:right w:w="62" w:type="dxa"/>
        </w:tblCellMar>
        <w:tblLook w:val="0000"/>
      </w:tblPr>
      <w:tblGrid>
        <w:gridCol w:w="9497"/>
      </w:tblGrid>
      <w:tr w:rsidTr="000224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240E" w:rsidP="0002240E">
            <w:pPr>
              <w:pStyle w:val="BodyText"/>
            </w:pPr>
            <w:r w:rsidRPr="0002240E">
              <w:t>This unit replaces and is equivalent to UETTDRTS27A Perform accuracy checks on power systems instrument transformers.</w:t>
            </w:r>
          </w:p>
        </w:tc>
      </w:tr>
    </w:tbl>
    <w:p w:rsidR="00000000" w:rsidRPr="0002240E" w:rsidP="0002240E">
      <w:pPr>
        <w:pStyle w:val="NoPaddingFontSize1"/>
      </w:pPr>
    </w:p>
    <w:p w:rsidR="00000000" w:rsidRPr="0002240E" w:rsidP="0002240E">
      <w:pPr>
        <w:pStyle w:val="AllowPageBreak"/>
      </w:pPr>
    </w:p>
    <w:p w:rsidR="00000000" w:rsidRPr="0002240E" w:rsidP="0002240E">
      <w:pPr>
        <w:pStyle w:val="Heading1"/>
      </w:pPr>
      <w:bookmarkStart w:id="10" w:name="O_1005571"/>
      <w:bookmarkEnd w:id="10"/>
      <w:r w:rsidRPr="0002240E">
        <w:t>Links</w:t>
      </w:r>
    </w:p>
    <w:p w:rsidR="00000000" w:rsidRPr="0002240E" w:rsidP="00742D2E">
      <w:pPr>
        <w:pStyle w:val="BodyText"/>
      </w:pPr>
      <w:r w:rsidRPr="0002240E">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97054C">
        <w:rPr>
          <w:rStyle w:val="Hyperlink"/>
        </w:rPr>
        <w:t>https://vetnet.gov.au/Pages/TrainingDocs.aspx?q=229bace1-b7bc-4653-9300-dffb13ecfad7</w:t>
      </w:r>
      <w:r>
        <w:fldChar w:fldCharType="end"/>
      </w:r>
    </w:p>
    <w:p w:rsidR="00000000" w:rsidRPr="0002240E" w:rsidP="0002240E"/>
    <w:sectPr w:rsidSect="000224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4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40E" w:rsidRPr="00742D2E" w:rsidP="00742D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4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D2E" w:rsidP="000224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2D2E" w:rsidP="0002240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42D2E" w:rsidP="000224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4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D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240E" w:rsidRPr="00742D2E" w:rsidP="00742D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4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D2E" w:rsidRPr="002D2AF8" w:rsidP="0002240E">
    <w:pPr>
      <w:pStyle w:val="Header"/>
      <w:framePr w:wrap="around"/>
    </w:pPr>
    <w:r>
      <w:fldChar w:fldCharType="begin"/>
    </w:r>
    <w:r>
      <w:instrText xml:space="preserve"> TITLE   \* MERGEFORMAT </w:instrText>
    </w:r>
    <w:r>
      <w:fldChar w:fldCharType="separate"/>
    </w:r>
    <w:r>
      <w:t>UETTDRTS27 Perform accuracy checks on power systems instrument transformers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742D2E" w:rsidP="000224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4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240E"/>
    <w:pPr>
      <w:spacing w:before="360" w:after="60"/>
      <w:outlineLvl w:val="0"/>
    </w:pPr>
    <w:rPr>
      <w:sz w:val="32"/>
    </w:rPr>
  </w:style>
  <w:style w:type="paragraph" w:styleId="Heading2">
    <w:name w:val="heading 2"/>
    <w:basedOn w:val="HeadingBase"/>
    <w:next w:val="BodyText"/>
    <w:link w:val="Heading2Char"/>
    <w:qFormat/>
    <w:rsid w:val="0002240E"/>
    <w:pPr>
      <w:keepLines/>
      <w:spacing w:before="240" w:after="120"/>
      <w:outlineLvl w:val="1"/>
    </w:pPr>
    <w:rPr>
      <w:sz w:val="28"/>
      <w:szCs w:val="40"/>
    </w:rPr>
  </w:style>
  <w:style w:type="paragraph" w:styleId="Heading3">
    <w:name w:val="heading 3"/>
    <w:basedOn w:val="HeadingBase"/>
    <w:next w:val="BodyText"/>
    <w:link w:val="Heading3Char"/>
    <w:qFormat/>
    <w:rsid w:val="0002240E"/>
    <w:pPr>
      <w:spacing w:before="180" w:after="120"/>
      <w:outlineLvl w:val="2"/>
    </w:pPr>
    <w:rPr>
      <w:spacing w:val="-10"/>
      <w:kern w:val="32"/>
    </w:rPr>
  </w:style>
  <w:style w:type="paragraph" w:styleId="Heading4">
    <w:name w:val="heading 4"/>
    <w:basedOn w:val="HeadingBase"/>
    <w:next w:val="BodyText"/>
    <w:link w:val="Heading4Char"/>
    <w:qFormat/>
    <w:rsid w:val="0002240E"/>
    <w:pPr>
      <w:spacing w:before="160" w:after="120"/>
      <w:outlineLvl w:val="3"/>
    </w:pPr>
    <w:rPr>
      <w:sz w:val="22"/>
    </w:rPr>
  </w:style>
  <w:style w:type="paragraph" w:styleId="Heading5">
    <w:name w:val="heading 5"/>
    <w:basedOn w:val="HeadingBase"/>
    <w:next w:val="Normal"/>
    <w:link w:val="Heading5Char"/>
    <w:qFormat/>
    <w:rsid w:val="0002240E"/>
    <w:pPr>
      <w:spacing w:before="80"/>
      <w:outlineLvl w:val="4"/>
    </w:pPr>
    <w:rPr>
      <w:color w:val="918585"/>
      <w:sz w:val="20"/>
    </w:rPr>
  </w:style>
  <w:style w:type="paragraph" w:styleId="Heading6">
    <w:name w:val="heading 6"/>
    <w:basedOn w:val="HeadingBase"/>
    <w:next w:val="Normal"/>
    <w:link w:val="Heading6Char"/>
    <w:qFormat/>
    <w:rsid w:val="0002240E"/>
    <w:pPr>
      <w:spacing w:before="60"/>
      <w:outlineLvl w:val="5"/>
    </w:pPr>
    <w:rPr>
      <w:color w:val="918585"/>
      <w:sz w:val="20"/>
    </w:rPr>
  </w:style>
  <w:style w:type="paragraph" w:styleId="Heading7">
    <w:name w:val="heading 7"/>
    <w:basedOn w:val="Normal"/>
    <w:next w:val="Normal"/>
    <w:link w:val="Heading7Char"/>
    <w:qFormat/>
    <w:rsid w:val="0002240E"/>
    <w:pPr>
      <w:ind w:left="720"/>
      <w:outlineLvl w:val="6"/>
    </w:pPr>
    <w:rPr>
      <w:i/>
    </w:rPr>
  </w:style>
  <w:style w:type="paragraph" w:styleId="Heading8">
    <w:name w:val="heading 8"/>
    <w:basedOn w:val="Normal"/>
    <w:next w:val="Normal"/>
    <w:link w:val="Heading8Char"/>
    <w:qFormat/>
    <w:rsid w:val="0002240E"/>
    <w:pPr>
      <w:ind w:left="720"/>
      <w:outlineLvl w:val="7"/>
    </w:pPr>
    <w:rPr>
      <w:i/>
    </w:rPr>
  </w:style>
  <w:style w:type="paragraph" w:styleId="Heading9">
    <w:name w:val="heading 9"/>
    <w:basedOn w:val="Normal"/>
    <w:next w:val="Normal"/>
    <w:link w:val="Heading9Char"/>
    <w:qFormat/>
    <w:rsid w:val="0002240E"/>
    <w:pPr>
      <w:ind w:left="720"/>
      <w:outlineLvl w:val="8"/>
    </w:pPr>
    <w:rPr>
      <w:i/>
    </w:rPr>
  </w:style>
  <w:style w:type="character" w:default="1" w:styleId="DefaultParagraphFont">
    <w:name w:val="Default Paragraph Font"/>
    <w:uiPriority w:val="1"/>
    <w:unhideWhenUsed/>
    <w:rsid w:val="000224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240E"/>
  </w:style>
  <w:style w:type="character" w:customStyle="1" w:styleId="Heading1Char">
    <w:name w:val="Heading 1 Char"/>
    <w:basedOn w:val="DefaultParagraphFont"/>
    <w:link w:val="Heading1"/>
    <w:rsid w:val="0002240E"/>
    <w:rPr>
      <w:rFonts w:ascii="Times New Roman" w:eastAsia="Times New Roman" w:hAnsi="Times New Roman" w:cs="Times New Roman"/>
      <w:b/>
      <w:sz w:val="32"/>
      <w:szCs w:val="20"/>
      <w:lang w:eastAsia="en-US"/>
    </w:rPr>
  </w:style>
  <w:style w:type="paragraph" w:styleId="BodyText">
    <w:name w:val="Body Text"/>
    <w:basedOn w:val="Normal"/>
    <w:link w:val="BodyTextChar"/>
    <w:rsid w:val="000224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240E"/>
    <w:rPr>
      <w:rFonts w:ascii="Times New Roman" w:eastAsia="Times New Roman" w:hAnsi="Times New Roman" w:cs="Times New Roman"/>
      <w:sz w:val="24"/>
      <w:lang w:eastAsia="en-US"/>
    </w:rPr>
  </w:style>
  <w:style w:type="character" w:customStyle="1" w:styleId="SpecialBold">
    <w:name w:val="Special Bold"/>
    <w:basedOn w:val="DefaultParagraphFont"/>
    <w:rsid w:val="0002240E"/>
    <w:rPr>
      <w:b/>
      <w:spacing w:val="0"/>
    </w:rPr>
  </w:style>
  <w:style w:type="paragraph" w:customStyle="1" w:styleId="SuperHeading">
    <w:name w:val="SuperHeading"/>
    <w:basedOn w:val="Normal"/>
    <w:rsid w:val="0002240E"/>
    <w:pPr>
      <w:spacing w:before="240" w:after="120"/>
      <w:outlineLvl w:val="0"/>
    </w:pPr>
    <w:rPr>
      <w:rFonts w:ascii="Times New Roman" w:hAnsi="Times New Roman"/>
      <w:b/>
      <w:sz w:val="32"/>
    </w:rPr>
  </w:style>
  <w:style w:type="paragraph" w:customStyle="1" w:styleId="AllowPageBreak">
    <w:name w:val="AllowPageBreak"/>
    <w:rsid w:val="0002240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224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24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24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24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24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24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24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240E"/>
    <w:rPr>
      <w:rFonts w:ascii="Courier New" w:eastAsia="Times New Roman" w:hAnsi="Courier New" w:cs="Times New Roman"/>
      <w:i/>
      <w:szCs w:val="20"/>
      <w:lang w:eastAsia="en-US"/>
    </w:rPr>
  </w:style>
  <w:style w:type="paragraph" w:customStyle="1" w:styleId="HeadingBase">
    <w:name w:val="Heading Base"/>
    <w:rsid w:val="000224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240E"/>
    <w:pPr>
      <w:tabs>
        <w:tab w:val="right" w:leader="dot" w:pos="9072"/>
      </w:tabs>
      <w:ind w:left="567"/>
    </w:pPr>
    <w:rPr>
      <w:szCs w:val="22"/>
    </w:rPr>
  </w:style>
  <w:style w:type="paragraph" w:customStyle="1" w:styleId="TOCBase">
    <w:name w:val="TOC Base"/>
    <w:rsid w:val="000224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240E"/>
    <w:pPr>
      <w:tabs>
        <w:tab w:val="right" w:leader="dot" w:pos="9072"/>
      </w:tabs>
      <w:spacing w:before="40" w:after="40"/>
      <w:ind w:left="284"/>
    </w:pPr>
    <w:rPr>
      <w:rFonts w:ascii="Times New Roman" w:hAnsi="Times New Roman"/>
    </w:rPr>
  </w:style>
  <w:style w:type="paragraph" w:styleId="TOC1">
    <w:name w:val="toc 1"/>
    <w:basedOn w:val="TOCBase"/>
    <w:next w:val="Normal"/>
    <w:rsid w:val="000224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24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240E"/>
    <w:rPr>
      <w:rFonts w:ascii="Times New Roman" w:eastAsia="Times New Roman" w:hAnsi="Times New Roman" w:cs="Times New Roman"/>
      <w:sz w:val="16"/>
      <w:lang w:eastAsia="en-US"/>
    </w:rPr>
  </w:style>
  <w:style w:type="paragraph" w:styleId="Title">
    <w:name w:val="Title"/>
    <w:basedOn w:val="HeadingBase"/>
    <w:link w:val="TitleChar"/>
    <w:qFormat/>
    <w:rsid w:val="0002240E"/>
    <w:pPr>
      <w:spacing w:before="5040"/>
      <w:jc w:val="center"/>
    </w:pPr>
    <w:rPr>
      <w:sz w:val="48"/>
      <w:szCs w:val="72"/>
      <w:lang w:val="en-US"/>
    </w:rPr>
  </w:style>
  <w:style w:type="character" w:customStyle="1" w:styleId="TitleChar">
    <w:name w:val="Title Char"/>
    <w:basedOn w:val="DefaultParagraphFont"/>
    <w:link w:val="Title"/>
    <w:rsid w:val="000224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240E"/>
    <w:pPr>
      <w:tabs>
        <w:tab w:val="left" w:pos="3600"/>
        <w:tab w:val="left" w:pos="3958"/>
      </w:tabs>
    </w:pPr>
  </w:style>
  <w:style w:type="paragraph" w:styleId="List">
    <w:name w:val="List"/>
    <w:basedOn w:val="BodyText"/>
    <w:next w:val="BodyText"/>
    <w:rsid w:val="0002240E"/>
    <w:pPr>
      <w:tabs>
        <w:tab w:val="left" w:pos="340"/>
      </w:tabs>
      <w:spacing w:before="60" w:after="60"/>
      <w:ind w:left="340" w:hanging="340"/>
    </w:pPr>
  </w:style>
  <w:style w:type="paragraph" w:styleId="ListBullet">
    <w:name w:val="List Bullet"/>
    <w:basedOn w:val="List"/>
    <w:rsid w:val="0002240E"/>
    <w:pPr>
      <w:numPr>
        <w:numId w:val="10"/>
      </w:numPr>
      <w:tabs>
        <w:tab w:val="clear" w:pos="340"/>
      </w:tabs>
      <w:spacing w:before="40" w:after="40"/>
    </w:pPr>
  </w:style>
  <w:style w:type="paragraph" w:customStyle="1" w:styleId="Note">
    <w:name w:val="Note"/>
    <w:basedOn w:val="BodyText"/>
    <w:rsid w:val="000224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240E"/>
    <w:pPr>
      <w:framePr w:wrap="auto" w:hAnchor="text" w:y="6049"/>
    </w:pPr>
    <w:rPr>
      <w:color w:val="000000"/>
      <w:sz w:val="40"/>
    </w:rPr>
  </w:style>
  <w:style w:type="paragraph" w:customStyle="1" w:styleId="TOCTitle">
    <w:name w:val="TOCTitle"/>
    <w:basedOn w:val="Heading1"/>
    <w:rsid w:val="0002240E"/>
    <w:pPr>
      <w:spacing w:after="240"/>
      <w:jc w:val="center"/>
      <w:outlineLvl w:val="9"/>
    </w:pPr>
    <w:rPr>
      <w:caps/>
    </w:rPr>
  </w:style>
  <w:style w:type="paragraph" w:customStyle="1" w:styleId="Version">
    <w:name w:val="Version"/>
    <w:rsid w:val="000224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240E"/>
    <w:pPr>
      <w:numPr>
        <w:numId w:val="11"/>
      </w:numPr>
      <w:tabs>
        <w:tab w:val="clear" w:pos="680"/>
      </w:tabs>
    </w:pPr>
  </w:style>
  <w:style w:type="paragraph" w:styleId="Index1">
    <w:name w:val="index 1"/>
    <w:basedOn w:val="Normal"/>
    <w:next w:val="Normal"/>
    <w:semiHidden/>
    <w:rsid w:val="0002240E"/>
    <w:pPr>
      <w:keepNext w:val="0"/>
      <w:tabs>
        <w:tab w:val="right" w:pos="4176"/>
      </w:tabs>
      <w:ind w:left="198" w:hanging="198"/>
    </w:pPr>
    <w:rPr>
      <w:rFonts w:ascii="Garamond" w:hAnsi="Garamond"/>
    </w:rPr>
  </w:style>
  <w:style w:type="paragraph" w:styleId="IndexHeading">
    <w:name w:val="index heading"/>
    <w:basedOn w:val="Normal"/>
    <w:next w:val="Index1"/>
    <w:semiHidden/>
    <w:rsid w:val="0002240E"/>
    <w:pPr>
      <w:spacing w:before="120" w:after="120"/>
    </w:pPr>
    <w:rPr>
      <w:rFonts w:ascii="Arial" w:hAnsi="Arial"/>
      <w:b/>
      <w:color w:val="918585"/>
      <w:sz w:val="24"/>
    </w:rPr>
  </w:style>
  <w:style w:type="paragraph" w:styleId="Header">
    <w:name w:val="header"/>
    <w:basedOn w:val="Normal"/>
    <w:link w:val="HeaderChar"/>
    <w:rsid w:val="000224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240E"/>
    <w:rPr>
      <w:rFonts w:ascii="Times New Roman" w:eastAsia="Times New Roman" w:hAnsi="Times New Roman" w:cs="Times New Roman"/>
      <w:sz w:val="16"/>
      <w:szCs w:val="20"/>
      <w:lang w:val="en-GB" w:eastAsia="en-US"/>
    </w:rPr>
  </w:style>
  <w:style w:type="paragraph" w:customStyle="1" w:styleId="Chapter">
    <w:name w:val="Chapter"/>
    <w:basedOn w:val="Normal"/>
    <w:rsid w:val="0002240E"/>
    <w:pPr>
      <w:spacing w:before="240"/>
    </w:pPr>
    <w:rPr>
      <w:rFonts w:ascii="Times New Roman" w:hAnsi="Times New Roman"/>
      <w:smallCaps/>
      <w:spacing w:val="80"/>
      <w:sz w:val="28"/>
    </w:rPr>
  </w:style>
  <w:style w:type="paragraph" w:customStyle="1" w:styleId="InChapter">
    <w:name w:val="InChapter"/>
    <w:basedOn w:val="Heading3"/>
    <w:rsid w:val="0002240E"/>
    <w:pPr>
      <w:spacing w:after="240"/>
      <w:outlineLvl w:val="9"/>
    </w:pPr>
    <w:rPr>
      <w:noProof/>
    </w:rPr>
  </w:style>
  <w:style w:type="paragraph" w:styleId="Index2">
    <w:name w:val="index 2"/>
    <w:basedOn w:val="Normal"/>
    <w:next w:val="Normal"/>
    <w:semiHidden/>
    <w:rsid w:val="0002240E"/>
    <w:pPr>
      <w:tabs>
        <w:tab w:val="right" w:pos="4176"/>
      </w:tabs>
      <w:ind w:left="568" w:hanging="284"/>
    </w:pPr>
    <w:rPr>
      <w:rFonts w:ascii="Garamond" w:hAnsi="Garamond"/>
    </w:rPr>
  </w:style>
  <w:style w:type="paragraph" w:customStyle="1" w:styleId="Byline">
    <w:name w:val="Byline"/>
    <w:rsid w:val="000224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240E"/>
    <w:pPr>
      <w:tabs>
        <w:tab w:val="clear" w:pos="3600"/>
        <w:tab w:val="clear" w:pos="3958"/>
      </w:tabs>
      <w:jc w:val="right"/>
    </w:pPr>
  </w:style>
  <w:style w:type="character" w:styleId="Emphasis">
    <w:name w:val="Emphasis"/>
    <w:basedOn w:val="DefaultParagraphFont"/>
    <w:qFormat/>
    <w:rsid w:val="0002240E"/>
    <w:rPr>
      <w:i/>
    </w:rPr>
  </w:style>
  <w:style w:type="paragraph" w:styleId="Caption">
    <w:name w:val="caption"/>
    <w:basedOn w:val="BodyText"/>
    <w:next w:val="Normal"/>
    <w:qFormat/>
    <w:rsid w:val="0002240E"/>
    <w:pPr>
      <w:framePr w:w="2268" w:hSpace="181" w:vSpace="181" w:wrap="around" w:vAnchor="text" w:hAnchor="page" w:x="1135" w:y="285" w:anchorLock="1"/>
    </w:pPr>
    <w:rPr>
      <w:i/>
    </w:rPr>
  </w:style>
  <w:style w:type="paragraph" w:customStyle="1" w:styleId="MiniTOCTitle">
    <w:name w:val="MiniTOCTitle"/>
    <w:basedOn w:val="Heading4"/>
    <w:rsid w:val="0002240E"/>
    <w:pPr>
      <w:spacing w:before="240"/>
      <w:outlineLvl w:val="9"/>
    </w:pPr>
    <w:rPr>
      <w:noProof/>
      <w:sz w:val="24"/>
    </w:rPr>
  </w:style>
  <w:style w:type="paragraph" w:customStyle="1" w:styleId="MiniTOCItem">
    <w:name w:val="MiniTOCItem"/>
    <w:basedOn w:val="ListBullet"/>
    <w:rsid w:val="0002240E"/>
    <w:pPr>
      <w:numPr>
        <w:numId w:val="0"/>
      </w:numPr>
      <w:tabs>
        <w:tab w:val="right" w:leader="dot" w:pos="6521"/>
      </w:tabs>
      <w:spacing w:before="0" w:after="0"/>
    </w:pPr>
  </w:style>
  <w:style w:type="paragraph" w:customStyle="1" w:styleId="TOFTitle">
    <w:name w:val="TOFTitle"/>
    <w:basedOn w:val="TOCTitle"/>
    <w:rsid w:val="0002240E"/>
  </w:style>
  <w:style w:type="paragraph" w:styleId="TableofFigures">
    <w:name w:val="table of figures"/>
    <w:basedOn w:val="Normal"/>
    <w:next w:val="Normal"/>
    <w:semiHidden/>
    <w:rsid w:val="0002240E"/>
    <w:pPr>
      <w:tabs>
        <w:tab w:val="right" w:leader="dot" w:pos="9072"/>
      </w:tabs>
      <w:ind w:left="970" w:hanging="403"/>
    </w:pPr>
    <w:rPr>
      <w:rFonts w:ascii="Times New Roman" w:hAnsi="Times New Roman"/>
      <w:b/>
    </w:rPr>
  </w:style>
  <w:style w:type="paragraph" w:styleId="ListNumber">
    <w:name w:val="List Number"/>
    <w:basedOn w:val="List"/>
    <w:rsid w:val="0002240E"/>
    <w:pPr>
      <w:numPr>
        <w:numId w:val="13"/>
      </w:numPr>
      <w:tabs>
        <w:tab w:val="clear" w:pos="340"/>
      </w:tabs>
    </w:pPr>
  </w:style>
  <w:style w:type="character" w:customStyle="1" w:styleId="WingdingSymbols">
    <w:name w:val="Wingding Symbols"/>
    <w:rsid w:val="0002240E"/>
    <w:rPr>
      <w:rFonts w:ascii="Wingdings" w:hAnsi="Wingdings"/>
    </w:rPr>
  </w:style>
  <w:style w:type="paragraph" w:customStyle="1" w:styleId="TableHeading">
    <w:name w:val="Table Heading"/>
    <w:basedOn w:val="HeadingBase"/>
    <w:rsid w:val="0002240E"/>
    <w:pPr>
      <w:keepLines/>
      <w:pBdr>
        <w:bottom w:val="single" w:sz="6" w:space="1" w:color="918585"/>
      </w:pBdr>
      <w:spacing w:before="240"/>
    </w:pPr>
  </w:style>
  <w:style w:type="character" w:customStyle="1" w:styleId="HotSpot">
    <w:name w:val="HotSpot"/>
    <w:rsid w:val="0002240E"/>
    <w:rPr>
      <w:color w:val="0033CC"/>
      <w:u w:val="none"/>
    </w:rPr>
  </w:style>
  <w:style w:type="paragraph" w:customStyle="1" w:styleId="BodyTextRight">
    <w:name w:val="Body Text Right"/>
    <w:basedOn w:val="BodyText"/>
    <w:rsid w:val="0002240E"/>
    <w:pPr>
      <w:spacing w:before="0" w:after="0"/>
      <w:jc w:val="right"/>
    </w:pPr>
  </w:style>
  <w:style w:type="paragraph" w:styleId="Index3">
    <w:name w:val="index 3"/>
    <w:basedOn w:val="ListNumber2"/>
    <w:next w:val="Normal"/>
    <w:semiHidden/>
    <w:rsid w:val="0002240E"/>
    <w:pPr>
      <w:numPr>
        <w:numId w:val="0"/>
      </w:numPr>
      <w:tabs>
        <w:tab w:val="right" w:leader="dot" w:pos="4176"/>
      </w:tabs>
    </w:pPr>
  </w:style>
  <w:style w:type="paragraph" w:styleId="ListNumber2">
    <w:name w:val="List Number 2"/>
    <w:basedOn w:val="List2"/>
    <w:rsid w:val="0002240E"/>
    <w:pPr>
      <w:numPr>
        <w:numId w:val="8"/>
      </w:numPr>
      <w:tabs>
        <w:tab w:val="clear" w:pos="1060"/>
      </w:tabs>
    </w:pPr>
  </w:style>
  <w:style w:type="paragraph" w:customStyle="1" w:styleId="MarginNote">
    <w:name w:val="Margin Note"/>
    <w:basedOn w:val="BodyText"/>
    <w:rsid w:val="000224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24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24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240E"/>
    <w:rPr>
      <w:sz w:val="32"/>
    </w:rPr>
  </w:style>
  <w:style w:type="paragraph" w:customStyle="1" w:styleId="HeadingProcedure">
    <w:name w:val="Heading Procedure"/>
    <w:basedOn w:val="HeadingBase"/>
    <w:next w:val="Normal"/>
    <w:rsid w:val="0002240E"/>
    <w:pPr>
      <w:tabs>
        <w:tab w:val="left" w:pos="0"/>
      </w:tabs>
      <w:spacing w:before="120" w:after="60"/>
    </w:pPr>
    <w:rPr>
      <w:i/>
      <w:color w:val="918585"/>
      <w:sz w:val="22"/>
    </w:rPr>
  </w:style>
  <w:style w:type="paragraph" w:customStyle="1" w:styleId="TableBodyText">
    <w:name w:val="Table Body Text"/>
    <w:basedOn w:val="BodyText"/>
    <w:rsid w:val="0002240E"/>
    <w:pPr>
      <w:spacing w:before="60" w:after="60"/>
    </w:pPr>
  </w:style>
  <w:style w:type="paragraph" w:styleId="ListContinue">
    <w:name w:val="List Continue"/>
    <w:basedOn w:val="List"/>
    <w:rsid w:val="0002240E"/>
    <w:pPr>
      <w:ind w:firstLine="0"/>
    </w:pPr>
  </w:style>
  <w:style w:type="paragraph" w:customStyle="1" w:styleId="ListNote">
    <w:name w:val="List Note"/>
    <w:basedOn w:val="List"/>
    <w:rsid w:val="0002240E"/>
    <w:pPr>
      <w:pBdr>
        <w:top w:val="single" w:sz="6" w:space="2" w:color="918585"/>
        <w:bottom w:val="single" w:sz="6" w:space="2" w:color="918585"/>
      </w:pBdr>
      <w:tabs>
        <w:tab w:val="left" w:pos="1021"/>
      </w:tabs>
      <w:ind w:firstLine="0"/>
    </w:pPr>
  </w:style>
  <w:style w:type="paragraph" w:customStyle="1" w:styleId="Warning">
    <w:name w:val="Warning"/>
    <w:basedOn w:val="BodyText"/>
    <w:rsid w:val="0002240E"/>
    <w:pPr>
      <w:shd w:val="clear" w:color="auto" w:fill="D9D9D9"/>
      <w:tabs>
        <w:tab w:val="left" w:pos="992"/>
      </w:tabs>
      <w:ind w:left="119" w:right="119"/>
    </w:pPr>
    <w:rPr>
      <w:sz w:val="20"/>
    </w:rPr>
  </w:style>
  <w:style w:type="paragraph" w:customStyle="1" w:styleId="MarginIcons">
    <w:name w:val="Margin Icons"/>
    <w:basedOn w:val="BodyText"/>
    <w:rsid w:val="000224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240E"/>
    <w:rPr>
      <w:rFonts w:ascii="Courier New" w:hAnsi="Courier New"/>
    </w:rPr>
  </w:style>
  <w:style w:type="paragraph" w:customStyle="1" w:styleId="NoteBullet">
    <w:name w:val="Note Bullet"/>
    <w:basedOn w:val="Note"/>
    <w:rsid w:val="0002240E"/>
    <w:pPr>
      <w:tabs>
        <w:tab w:val="clear" w:pos="680"/>
      </w:tabs>
      <w:spacing w:before="60" w:after="60"/>
    </w:pPr>
  </w:style>
  <w:style w:type="paragraph" w:customStyle="1" w:styleId="SubHeading2">
    <w:name w:val="SubHeading2"/>
    <w:basedOn w:val="HeadingBase"/>
    <w:rsid w:val="0002240E"/>
    <w:pPr>
      <w:spacing w:before="240" w:after="60"/>
    </w:pPr>
    <w:rPr>
      <w:sz w:val="20"/>
    </w:rPr>
  </w:style>
  <w:style w:type="paragraph" w:customStyle="1" w:styleId="SubHeading1">
    <w:name w:val="SubHeading1"/>
    <w:basedOn w:val="HeadingBase"/>
    <w:rsid w:val="0002240E"/>
    <w:pPr>
      <w:spacing w:before="240" w:after="60"/>
    </w:pPr>
    <w:rPr>
      <w:color w:val="918585"/>
      <w:sz w:val="22"/>
    </w:rPr>
  </w:style>
  <w:style w:type="paragraph" w:customStyle="1" w:styleId="SideHeading">
    <w:name w:val="Side Heading"/>
    <w:basedOn w:val="HeadingBase"/>
    <w:rsid w:val="000224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240E"/>
    <w:pPr>
      <w:numPr>
        <w:numId w:val="9"/>
      </w:numPr>
    </w:pPr>
  </w:style>
  <w:style w:type="paragraph" w:styleId="PlainText">
    <w:name w:val="Plain Text"/>
    <w:basedOn w:val="Normal"/>
    <w:link w:val="PlainTextChar"/>
    <w:rsid w:val="0002240E"/>
    <w:rPr>
      <w:sz w:val="20"/>
    </w:rPr>
  </w:style>
  <w:style w:type="character" w:customStyle="1" w:styleId="PlainTextChar">
    <w:name w:val="Plain Text Char"/>
    <w:basedOn w:val="DefaultParagraphFont"/>
    <w:link w:val="PlainText"/>
    <w:rsid w:val="0002240E"/>
    <w:rPr>
      <w:rFonts w:ascii="Courier New" w:eastAsia="Times New Roman" w:hAnsi="Courier New" w:cs="Times New Roman"/>
      <w:sz w:val="20"/>
      <w:szCs w:val="20"/>
      <w:lang w:eastAsia="en-US"/>
    </w:rPr>
  </w:style>
  <w:style w:type="character" w:customStyle="1" w:styleId="MenuOption">
    <w:name w:val="Menu Option"/>
    <w:basedOn w:val="DefaultParagraphFont"/>
    <w:rsid w:val="0002240E"/>
    <w:rPr>
      <w:b/>
      <w:smallCaps/>
    </w:rPr>
  </w:style>
  <w:style w:type="paragraph" w:customStyle="1" w:styleId="TableListNumber">
    <w:name w:val="Table List Number"/>
    <w:basedOn w:val="ListNumber"/>
    <w:rsid w:val="0002240E"/>
    <w:pPr>
      <w:numPr>
        <w:numId w:val="0"/>
      </w:numPr>
    </w:pPr>
  </w:style>
  <w:style w:type="paragraph" w:styleId="TOC4">
    <w:name w:val="toc 4"/>
    <w:basedOn w:val="TOCBase"/>
    <w:next w:val="Normal"/>
    <w:semiHidden/>
    <w:rsid w:val="0002240E"/>
    <w:pPr>
      <w:tabs>
        <w:tab w:val="right" w:leader="dot" w:pos="9071"/>
      </w:tabs>
      <w:ind w:left="1701"/>
    </w:pPr>
  </w:style>
  <w:style w:type="paragraph" w:customStyle="1" w:styleId="ListAlpha">
    <w:name w:val="List Alpha"/>
    <w:basedOn w:val="List"/>
    <w:rsid w:val="0002240E"/>
    <w:pPr>
      <w:numPr>
        <w:numId w:val="7"/>
      </w:numPr>
    </w:pPr>
  </w:style>
  <w:style w:type="paragraph" w:customStyle="1" w:styleId="ListAlpha2">
    <w:name w:val="List Alpha 2"/>
    <w:basedOn w:val="List2"/>
    <w:rsid w:val="0002240E"/>
    <w:pPr>
      <w:numPr>
        <w:numId w:val="6"/>
      </w:numPr>
    </w:pPr>
  </w:style>
  <w:style w:type="paragraph" w:styleId="List2">
    <w:name w:val="List 2"/>
    <w:basedOn w:val="BodyText"/>
    <w:rsid w:val="0002240E"/>
    <w:pPr>
      <w:tabs>
        <w:tab w:val="left" w:pos="680"/>
      </w:tabs>
      <w:spacing w:before="60" w:after="60"/>
      <w:ind w:left="680" w:hanging="340"/>
    </w:pPr>
  </w:style>
  <w:style w:type="paragraph" w:styleId="List3">
    <w:name w:val="List 3"/>
    <w:basedOn w:val="BodyText"/>
    <w:rsid w:val="0002240E"/>
    <w:pPr>
      <w:tabs>
        <w:tab w:val="left" w:pos="1021"/>
      </w:tabs>
      <w:spacing w:before="60" w:after="60"/>
      <w:ind w:left="1020" w:hanging="340"/>
    </w:pPr>
  </w:style>
  <w:style w:type="paragraph" w:styleId="List4">
    <w:name w:val="List 4"/>
    <w:basedOn w:val="BodyText"/>
    <w:rsid w:val="0002240E"/>
    <w:pPr>
      <w:tabs>
        <w:tab w:val="left" w:pos="1361"/>
      </w:tabs>
      <w:spacing w:before="60" w:after="60"/>
      <w:ind w:left="1361" w:hanging="340"/>
    </w:pPr>
  </w:style>
  <w:style w:type="paragraph" w:styleId="List5">
    <w:name w:val="List 5"/>
    <w:basedOn w:val="BodyText"/>
    <w:rsid w:val="0002240E"/>
    <w:pPr>
      <w:tabs>
        <w:tab w:val="left" w:pos="1701"/>
      </w:tabs>
      <w:spacing w:before="60" w:after="60"/>
      <w:ind w:left="1701" w:hanging="340"/>
    </w:pPr>
  </w:style>
  <w:style w:type="paragraph" w:styleId="ListBullet3">
    <w:name w:val="List Bullet 3"/>
    <w:basedOn w:val="List3"/>
    <w:rsid w:val="0002240E"/>
    <w:pPr>
      <w:numPr>
        <w:numId w:val="12"/>
      </w:numPr>
      <w:tabs>
        <w:tab w:val="clear" w:pos="1021"/>
      </w:tabs>
      <w:ind w:left="1037" w:hanging="357"/>
    </w:pPr>
  </w:style>
  <w:style w:type="paragraph" w:styleId="ListBullet4">
    <w:name w:val="List Bullet 4"/>
    <w:basedOn w:val="List4"/>
    <w:rsid w:val="0002240E"/>
    <w:pPr>
      <w:numPr>
        <w:numId w:val="1"/>
      </w:numPr>
      <w:tabs>
        <w:tab w:val="clear" w:pos="1361"/>
      </w:tabs>
    </w:pPr>
  </w:style>
  <w:style w:type="paragraph" w:styleId="ListBullet5">
    <w:name w:val="List Bullet 5"/>
    <w:basedOn w:val="List5"/>
    <w:rsid w:val="0002240E"/>
    <w:pPr>
      <w:numPr>
        <w:numId w:val="2"/>
      </w:numPr>
    </w:pPr>
  </w:style>
  <w:style w:type="paragraph" w:styleId="ListContinue2">
    <w:name w:val="List Continue 2"/>
    <w:basedOn w:val="List2"/>
    <w:rsid w:val="0002240E"/>
    <w:pPr>
      <w:ind w:firstLine="0"/>
    </w:pPr>
  </w:style>
  <w:style w:type="paragraph" w:styleId="ListContinue3">
    <w:name w:val="List Continue 3"/>
    <w:basedOn w:val="List3"/>
    <w:rsid w:val="0002240E"/>
    <w:pPr>
      <w:ind w:left="1021" w:firstLine="0"/>
    </w:pPr>
  </w:style>
  <w:style w:type="paragraph" w:styleId="ListContinue4">
    <w:name w:val="List Continue 4"/>
    <w:basedOn w:val="List4"/>
    <w:rsid w:val="0002240E"/>
    <w:pPr>
      <w:ind w:firstLine="0"/>
    </w:pPr>
  </w:style>
  <w:style w:type="paragraph" w:styleId="ListContinue5">
    <w:name w:val="List Continue 5"/>
    <w:basedOn w:val="List5"/>
    <w:rsid w:val="0002240E"/>
    <w:pPr>
      <w:ind w:firstLine="0"/>
    </w:pPr>
  </w:style>
  <w:style w:type="paragraph" w:styleId="ListNumber3">
    <w:name w:val="List Number 3"/>
    <w:basedOn w:val="List3"/>
    <w:rsid w:val="0002240E"/>
    <w:pPr>
      <w:numPr>
        <w:numId w:val="3"/>
      </w:numPr>
    </w:pPr>
  </w:style>
  <w:style w:type="paragraph" w:styleId="ListNumber4">
    <w:name w:val="List Number 4"/>
    <w:basedOn w:val="List4"/>
    <w:rsid w:val="0002240E"/>
    <w:pPr>
      <w:numPr>
        <w:numId w:val="4"/>
      </w:numPr>
    </w:pPr>
  </w:style>
  <w:style w:type="paragraph" w:styleId="ListNumber5">
    <w:name w:val="List Number 5"/>
    <w:basedOn w:val="List5"/>
    <w:rsid w:val="0002240E"/>
    <w:pPr>
      <w:numPr>
        <w:numId w:val="5"/>
      </w:numPr>
    </w:pPr>
  </w:style>
  <w:style w:type="paragraph" w:styleId="BlockText">
    <w:name w:val="Block Text"/>
    <w:basedOn w:val="Normal"/>
    <w:rsid w:val="0002240E"/>
    <w:pPr>
      <w:spacing w:after="120"/>
      <w:ind w:left="1440" w:right="1440"/>
    </w:pPr>
  </w:style>
  <w:style w:type="character" w:customStyle="1" w:styleId="Subscript">
    <w:name w:val="Subscript"/>
    <w:basedOn w:val="DefaultParagraphFont"/>
    <w:rsid w:val="0002240E"/>
    <w:rPr>
      <w:sz w:val="16"/>
      <w:vertAlign w:val="subscript"/>
    </w:rPr>
  </w:style>
  <w:style w:type="character" w:customStyle="1" w:styleId="Superscript">
    <w:name w:val="Superscript"/>
    <w:basedOn w:val="DefaultParagraphFont"/>
    <w:rsid w:val="0002240E"/>
    <w:rPr>
      <w:sz w:val="16"/>
      <w:vertAlign w:val="superscript"/>
    </w:rPr>
  </w:style>
  <w:style w:type="character" w:customStyle="1" w:styleId="Symbols">
    <w:name w:val="Symbols"/>
    <w:basedOn w:val="DefaultParagraphFont"/>
    <w:rsid w:val="0002240E"/>
    <w:rPr>
      <w:rFonts w:ascii="Symbol" w:hAnsi="Symbol"/>
    </w:rPr>
  </w:style>
  <w:style w:type="character" w:customStyle="1" w:styleId="MenuOptions">
    <w:name w:val="Menu Options"/>
    <w:basedOn w:val="DefaultParagraphFont"/>
    <w:rsid w:val="0002240E"/>
    <w:rPr>
      <w:rFonts w:ascii="Arial Narrow" w:hAnsi="Arial Narrow"/>
      <w:smallCaps/>
    </w:rPr>
  </w:style>
  <w:style w:type="character" w:customStyle="1" w:styleId="Buttons">
    <w:name w:val="Buttons"/>
    <w:basedOn w:val="DefaultParagraphFont"/>
    <w:rsid w:val="0002240E"/>
    <w:rPr>
      <w:b/>
    </w:rPr>
  </w:style>
  <w:style w:type="character" w:customStyle="1" w:styleId="Underlined">
    <w:name w:val="Underlined"/>
    <w:basedOn w:val="DefaultParagraphFont"/>
    <w:rsid w:val="0002240E"/>
    <w:rPr>
      <w:u w:val="single"/>
    </w:rPr>
  </w:style>
  <w:style w:type="paragraph" w:customStyle="1" w:styleId="TableBodyTextRight">
    <w:name w:val="Table Body Text Right"/>
    <w:basedOn w:val="TableBodyText"/>
    <w:rsid w:val="0002240E"/>
    <w:pPr>
      <w:widowControl w:val="0"/>
      <w:autoSpaceDE w:val="0"/>
      <w:autoSpaceDN w:val="0"/>
      <w:adjustRightInd w:val="0"/>
      <w:jc w:val="right"/>
    </w:pPr>
    <w:rPr>
      <w:rFonts w:cs="Arial"/>
      <w:szCs w:val="18"/>
    </w:rPr>
  </w:style>
  <w:style w:type="paragraph" w:customStyle="1" w:styleId="CopyrightText">
    <w:name w:val="Copyright Text"/>
    <w:basedOn w:val="BodyText"/>
    <w:rsid w:val="0002240E"/>
    <w:rPr>
      <w:sz w:val="18"/>
    </w:rPr>
  </w:style>
  <w:style w:type="paragraph" w:customStyle="1" w:styleId="BodySmallRight">
    <w:name w:val="Body Small Right"/>
    <w:basedOn w:val="BodyTextRight"/>
    <w:rsid w:val="0002240E"/>
    <w:rPr>
      <w:sz w:val="18"/>
      <w:szCs w:val="18"/>
    </w:rPr>
  </w:style>
  <w:style w:type="paragraph" w:customStyle="1" w:styleId="MarginEdition">
    <w:name w:val="Margin Edition"/>
    <w:basedOn w:val="MarginNote"/>
    <w:rsid w:val="0002240E"/>
    <w:pPr>
      <w:spacing w:before="0" w:after="0"/>
    </w:pPr>
    <w:rPr>
      <w:rFonts w:ascii="Times New Roman" w:hAnsi="Times New Roman"/>
      <w:color w:val="999999"/>
    </w:rPr>
  </w:style>
  <w:style w:type="paragraph" w:customStyle="1" w:styleId="Spacer">
    <w:name w:val="Spacer"/>
    <w:basedOn w:val="Normal"/>
    <w:rsid w:val="0002240E"/>
    <w:rPr>
      <w:sz w:val="2"/>
      <w:szCs w:val="2"/>
    </w:rPr>
  </w:style>
  <w:style w:type="character" w:customStyle="1" w:styleId="Small">
    <w:name w:val="Small"/>
    <w:basedOn w:val="DefaultParagraphFont"/>
    <w:rsid w:val="0002240E"/>
    <w:rPr>
      <w:sz w:val="16"/>
    </w:rPr>
  </w:style>
  <w:style w:type="paragraph" w:customStyle="1" w:styleId="WideTable">
    <w:name w:val="Wide Table"/>
    <w:basedOn w:val="Normal"/>
    <w:rsid w:val="0002240E"/>
    <w:pPr>
      <w:ind w:left="-1418"/>
    </w:pPr>
    <w:rPr>
      <w:sz w:val="2"/>
      <w:szCs w:val="2"/>
    </w:rPr>
  </w:style>
  <w:style w:type="character" w:styleId="PageNumber">
    <w:name w:val="page number"/>
    <w:basedOn w:val="DefaultParagraphFont"/>
    <w:rsid w:val="0002240E"/>
  </w:style>
  <w:style w:type="paragraph" w:styleId="Quote">
    <w:name w:val="Quote"/>
    <w:basedOn w:val="Heading1"/>
    <w:link w:val="QuoteChar"/>
    <w:qFormat/>
    <w:rsid w:val="0002240E"/>
    <w:rPr>
      <w:b w:val="0"/>
      <w:sz w:val="72"/>
      <w:szCs w:val="72"/>
      <w:lang w:val="en-NZ"/>
    </w:rPr>
  </w:style>
  <w:style w:type="character" w:customStyle="1" w:styleId="QuoteChar">
    <w:name w:val="Quote Char"/>
    <w:basedOn w:val="DefaultParagraphFont"/>
    <w:link w:val="Quote"/>
    <w:rsid w:val="000224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240E"/>
    <w:pPr>
      <w:pageBreakBefore/>
    </w:pPr>
  </w:style>
  <w:style w:type="paragraph" w:customStyle="1" w:styleId="Border">
    <w:name w:val="Border"/>
    <w:basedOn w:val="Normal"/>
    <w:qFormat/>
    <w:rsid w:val="000224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240E"/>
    <w:rPr>
      <w:b/>
      <w:bCs/>
      <w:i/>
      <w:iCs/>
      <w:color w:val="auto"/>
    </w:rPr>
  </w:style>
  <w:style w:type="paragraph" w:styleId="IntenseQuote">
    <w:name w:val="Intense Quote"/>
    <w:basedOn w:val="Normal"/>
    <w:next w:val="Normal"/>
    <w:link w:val="IntenseQuoteChar"/>
    <w:uiPriority w:val="30"/>
    <w:qFormat/>
    <w:rsid w:val="000224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24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240E"/>
    <w:rPr>
      <w:smallCaps/>
      <w:color w:val="auto"/>
      <w:u w:val="single"/>
    </w:rPr>
  </w:style>
  <w:style w:type="character" w:styleId="IntenseReference">
    <w:name w:val="Intense Reference"/>
    <w:basedOn w:val="DefaultParagraphFont"/>
    <w:uiPriority w:val="32"/>
    <w:qFormat/>
    <w:rsid w:val="0002240E"/>
    <w:rPr>
      <w:b/>
      <w:bCs/>
      <w:smallCaps/>
      <w:color w:val="auto"/>
      <w:spacing w:val="5"/>
      <w:u w:val="single"/>
    </w:rPr>
  </w:style>
  <w:style w:type="paragraph" w:customStyle="1" w:styleId="2ColumnHeading">
    <w:name w:val="2Column Heading"/>
    <w:basedOn w:val="BodyText"/>
    <w:qFormat/>
    <w:rsid w:val="0002240E"/>
    <w:pPr>
      <w:spacing w:after="60"/>
      <w:ind w:left="-2268"/>
    </w:pPr>
    <w:rPr>
      <w:b/>
    </w:rPr>
  </w:style>
  <w:style w:type="paragraph" w:customStyle="1" w:styleId="Heading1TOC">
    <w:name w:val="Heading1 TOC"/>
    <w:basedOn w:val="Normal"/>
    <w:qFormat/>
    <w:rsid w:val="0002240E"/>
    <w:pPr>
      <w:spacing w:before="240" w:after="120"/>
    </w:pPr>
    <w:rPr>
      <w:rFonts w:ascii="Times New Roman" w:hAnsi="Times New Roman"/>
      <w:b/>
      <w:sz w:val="32"/>
    </w:rPr>
  </w:style>
  <w:style w:type="paragraph" w:customStyle="1" w:styleId="Heading2TOC">
    <w:name w:val="Heading2 TOC"/>
    <w:basedOn w:val="Normal"/>
    <w:qFormat/>
    <w:rsid w:val="0002240E"/>
    <w:pPr>
      <w:spacing w:before="240" w:after="60"/>
    </w:pPr>
    <w:rPr>
      <w:rFonts w:ascii="Times New Roman" w:hAnsi="Times New Roman"/>
      <w:b/>
      <w:sz w:val="28"/>
    </w:rPr>
  </w:style>
  <w:style w:type="character" w:customStyle="1" w:styleId="Underline">
    <w:name w:val="Underline"/>
    <w:basedOn w:val="DefaultParagraphFont"/>
    <w:qFormat/>
    <w:rsid w:val="0002240E"/>
    <w:rPr>
      <w:u w:val="single"/>
    </w:rPr>
  </w:style>
  <w:style w:type="character" w:customStyle="1" w:styleId="BoldandItalics">
    <w:name w:val="Bold and Italics"/>
    <w:qFormat/>
    <w:rsid w:val="0002240E"/>
    <w:rPr>
      <w:b/>
      <w:i/>
      <w:u w:val="none"/>
    </w:rPr>
  </w:style>
  <w:style w:type="paragraph" w:styleId="BalloonText">
    <w:name w:val="Balloon Text"/>
    <w:basedOn w:val="Normal"/>
    <w:link w:val="BalloonTextChar"/>
    <w:rsid w:val="0002240E"/>
    <w:rPr>
      <w:rFonts w:ascii="Tahoma" w:hAnsi="Tahoma" w:cs="Tahoma"/>
      <w:sz w:val="16"/>
      <w:szCs w:val="16"/>
    </w:rPr>
  </w:style>
  <w:style w:type="character" w:customStyle="1" w:styleId="BalloonTextChar">
    <w:name w:val="Balloon Text Char"/>
    <w:basedOn w:val="DefaultParagraphFont"/>
    <w:link w:val="BalloonText"/>
    <w:rsid w:val="000224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24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24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240E"/>
    <w:rPr>
      <w:b/>
      <w:color w:val="660033"/>
      <w:spacing w:val="0"/>
    </w:rPr>
  </w:style>
  <w:style w:type="paragraph" w:customStyle="1" w:styleId="Nameditemlist">
    <w:name w:val="Named item list"/>
    <w:basedOn w:val="BodyText"/>
    <w:qFormat/>
    <w:rsid w:val="0002240E"/>
    <w:pPr>
      <w:tabs>
        <w:tab w:val="left" w:pos="2835"/>
      </w:tabs>
      <w:ind w:left="2835" w:hanging="2835"/>
    </w:pPr>
  </w:style>
  <w:style w:type="paragraph" w:customStyle="1" w:styleId="BodyTextnopadding">
    <w:name w:val="Body Text no padding"/>
    <w:basedOn w:val="BodyText"/>
    <w:qFormat/>
    <w:rsid w:val="0002240E"/>
    <w:pPr>
      <w:spacing w:before="0" w:after="0"/>
    </w:pPr>
  </w:style>
  <w:style w:type="paragraph" w:customStyle="1" w:styleId="BodyTextBold">
    <w:name w:val="Body Text Bold"/>
    <w:basedOn w:val="BodyText"/>
    <w:qFormat/>
    <w:rsid w:val="0002240E"/>
    <w:rPr>
      <w:b/>
    </w:rPr>
  </w:style>
  <w:style w:type="character" w:styleId="Hyperlink">
    <w:name w:val="Hyperlink"/>
    <w:basedOn w:val="DefaultParagraphFont"/>
    <w:uiPriority w:val="99"/>
    <w:unhideWhenUsed/>
    <w:rsid w:val="00742D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1037</Words>
  <Characters>6990</Characters>
  <Application>Microsoft Office Word</Application>
  <DocSecurity>0</DocSecurity>
  <Lines>268</Lines>
  <Paragraphs>119</Paragraphs>
  <ScaleCrop>false</ScaleCrop>
  <Company>Author-it Software Corporation Ltd.</Company>
  <LinksUpToDate>false</LinksUpToDate>
  <CharactersWithSpaces>7908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UETTDRTS27 Perform accuracy checks on power systems instrument transformers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2021-04-20T06:41:00Z</dcterms:created>
  <dcterms:modified xsi:type="dcterms:W3CDTF">2021-04-20T06:41:00Z</dcterms:modified>
</cp:coreProperties>
</file>