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82D" w:rsidP="00DC5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UETTDRTS26 Commission power systems metering schemes</w:t>
      </w:r>
      <w:r>
        <w:fldChar w:fldCharType="end"/>
      </w:r>
    </w:p>
    <w:p w:rsidR="00DC582D" w:rsidP="00DC582D">
      <w:pPr>
        <w:pStyle w:val="Version"/>
        <w:sectPr w:rsidSect="00C94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196" w:rsidP="00C94196">
      <w:pPr>
        <w:pStyle w:val="SuperHeading"/>
      </w:pPr>
      <w:r w:rsidRPr="00C94196">
        <w:t>UETTDRTS26 Commission power systems metering schemes</w:t>
      </w:r>
    </w:p>
    <w:p w:rsidR="00000000" w:rsidRPr="00C94196" w:rsidP="00C94196">
      <w:pPr>
        <w:pStyle w:val="Heading1"/>
      </w:pPr>
      <w:bookmarkStart w:id="1" w:name="O_1005537"/>
      <w:bookmarkEnd w:id="1"/>
      <w:r w:rsidRPr="00C941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2" w:name="O_1005538"/>
      <w:bookmarkEnd w:id="2"/>
      <w:r w:rsidRPr="00C941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This unit covers the commissioning of metering s</w:t>
            </w:r>
            <w:r w:rsidRPr="00C94196">
              <w:t>chemes and includes isolation, inspection, monitoring, testing and adjustment; and repair, refurbishment and/or overhaul and function checks on schemes including ammeters, voltmeters, wattmeters, volt-ampere reactive (VAR) meters and energy metering. It al</w:t>
            </w:r>
            <w:r w:rsidRPr="00C94196">
              <w:t>so includes an emphasis on ensuring that the metering is connected into the power system safely and correctly and that it returns valid information.</w:t>
            </w:r>
          </w:p>
          <w:p w:rsidR="00000000" w:rsidRPr="00C94196" w:rsidP="00C94196">
            <w:pPr>
              <w:pStyle w:val="BodyText"/>
            </w:pPr>
            <w:r w:rsidRPr="00C94196">
              <w:t>The application of the skills and knowledge described in this unit may require a licence/registration to pr</w:t>
            </w:r>
            <w:r w:rsidRPr="00C94196">
              <w:t xml:space="preserve">actice in the workplace subject to regulations for undertaking of electrical work.  </w:t>
            </w:r>
          </w:p>
          <w:p w:rsidR="00000000" w:rsidRPr="00C94196" w:rsidP="00C94196">
            <w:pPr>
              <w:pStyle w:val="BodyText"/>
            </w:pPr>
            <w:r w:rsidRPr="00C9419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3" w:name="O_1005539"/>
      <w:bookmarkEnd w:id="3"/>
      <w:r w:rsidRPr="00C941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Common Unit Group</w:t>
            </w:r>
          </w:p>
          <w:p w:rsidR="00000000" w:rsidRPr="00C94196" w:rsidP="00C94196">
            <w:pPr>
              <w:pStyle w:val="BodyText"/>
            </w:pPr>
            <w:r w:rsidRPr="00C94196">
              <w:t>UEENEED104A Use engineering applications software on personal computers</w:t>
            </w:r>
          </w:p>
          <w:p w:rsidR="00000000" w:rsidRPr="00C94196" w:rsidP="00C94196">
            <w:pPr>
              <w:pStyle w:val="BodyText"/>
            </w:pPr>
            <w:r w:rsidRPr="00C94196">
              <w:t>UEENEEE101A Apply Occupational Health and Safety regulations, codes and practices in the workplace</w:t>
            </w:r>
          </w:p>
          <w:p w:rsidR="00000000" w:rsidRPr="00C94196" w:rsidP="00C94196">
            <w:pPr>
              <w:pStyle w:val="BodyText"/>
            </w:pPr>
            <w:r w:rsidRPr="00C94196">
              <w:t>UEENEEE102A Fabricate, assemble and dism</w:t>
            </w:r>
            <w:r w:rsidRPr="00C94196">
              <w:t>antle utilities industry components</w:t>
            </w:r>
          </w:p>
          <w:p w:rsidR="00000000" w:rsidRPr="00C94196" w:rsidP="00C94196">
            <w:pPr>
              <w:pStyle w:val="BodyText"/>
            </w:pPr>
            <w:r w:rsidRPr="00C94196">
              <w:t>UEENEEE104A Solve problems in d.c. circuits</w:t>
            </w:r>
          </w:p>
          <w:p w:rsidR="00000000" w:rsidRPr="00C94196" w:rsidP="00C94196">
            <w:pPr>
              <w:pStyle w:val="BodyText"/>
            </w:pPr>
            <w:r w:rsidRPr="00C94196">
              <w:t>UEENEEE107A Use drawings, diagrams, schedules, standards, codes and specifications</w:t>
            </w:r>
          </w:p>
          <w:p w:rsidR="00000000" w:rsidRPr="00C94196" w:rsidP="00C94196">
            <w:pPr>
              <w:pStyle w:val="BodyText"/>
            </w:pPr>
            <w:r w:rsidRPr="00C94196">
              <w:t>UEENEEE124A Compile and produce an energy sector detailed report</w:t>
            </w:r>
          </w:p>
          <w:p w:rsidR="00000000" w:rsidRPr="00C94196" w:rsidP="00C94196">
            <w:pPr>
              <w:pStyle w:val="BodyText"/>
            </w:pPr>
            <w:r w:rsidRPr="00C94196">
              <w:t>UEENEEE125A Provide engineer</w:t>
            </w:r>
            <w:r w:rsidRPr="00C94196">
              <w:t>ing solutions for problems in complex multiple path circuits</w:t>
            </w:r>
          </w:p>
          <w:p w:rsidR="00000000" w:rsidRPr="00C94196" w:rsidP="00C94196">
            <w:pPr>
              <w:pStyle w:val="BodyText"/>
            </w:pPr>
            <w:r w:rsidRPr="00C94196">
              <w:t>UEENEEE126A Provide solutions to basic engineering computational problems</w:t>
            </w:r>
          </w:p>
          <w:p w:rsidR="00000000" w:rsidRPr="00C94196" w:rsidP="00C94196">
            <w:pPr>
              <w:pStyle w:val="BodyText"/>
            </w:pPr>
            <w:r w:rsidRPr="00C94196">
              <w:t>UEENEEG101A Solve problems in electromagnetic devices and related circuits</w:t>
            </w:r>
          </w:p>
          <w:p w:rsidR="00000000" w:rsidRPr="00C94196" w:rsidP="00C94196">
            <w:pPr>
              <w:pStyle w:val="BodyText"/>
            </w:pPr>
            <w:r w:rsidRPr="00C94196">
              <w:t>UEENEEG102A Solve problems in low voltage a.c. circuits</w:t>
            </w:r>
          </w:p>
          <w:p w:rsidR="00000000" w:rsidRPr="00C94196" w:rsidP="00C94196">
            <w:pPr>
              <w:pStyle w:val="BodyText"/>
            </w:pPr>
            <w:r w:rsidRPr="00C94196">
              <w:t>UEENEEG149A Provide engineering solutions to problems in complex polyphase power circuits</w:t>
            </w:r>
          </w:p>
          <w:p w:rsidR="00000000" w:rsidRPr="00C94196" w:rsidP="00C94196">
            <w:pPr>
              <w:pStyle w:val="BodyText"/>
            </w:pPr>
            <w:r w:rsidRPr="00C94196">
              <w:t>UETTDREL11 Apply sustainable energy and environmental procedures</w:t>
            </w:r>
          </w:p>
          <w:p w:rsidR="00000000" w:rsidRPr="00C94196" w:rsidP="00C94196">
            <w:pPr>
              <w:pStyle w:val="BodyText"/>
            </w:pPr>
            <w:r w:rsidRPr="00C94196">
              <w:t>UETTDREL16 Working safely near live electrica</w:t>
            </w:r>
            <w:r w:rsidRPr="00C94196">
              <w:t>l apparatus</w:t>
            </w:r>
          </w:p>
          <w:p w:rsidR="00000000" w:rsidRPr="00C94196" w:rsidP="00C94196">
            <w:pPr>
              <w:pStyle w:val="BodyText"/>
            </w:pPr>
            <w:r w:rsidRPr="00C94196">
              <w:t xml:space="preserve">UETTDRIS62 Implement and monitor the power system organisational WHS/OHS policies, </w:t>
            </w:r>
            <w:r w:rsidRPr="00C94196">
              <w:t>procedures and programs</w:t>
            </w:r>
          </w:p>
          <w:p w:rsidR="00000000" w:rsidRPr="00C94196" w:rsidP="00C94196">
            <w:pPr>
              <w:pStyle w:val="BodyText"/>
            </w:pPr>
            <w:r w:rsidRPr="00C94196">
              <w:t>UETTDRIS63 Implement &amp; monitor power system environmental &amp; sustainable energy management policies &amp; procedures</w:t>
            </w:r>
          </w:p>
          <w:p w:rsidR="00000000" w:rsidRPr="00C94196" w:rsidP="00C94196">
            <w:pPr>
              <w:pStyle w:val="BodyText"/>
            </w:pPr>
            <w:r w:rsidRPr="00C94196">
              <w:t>UETTDRTS25 Maintain and t</w:t>
            </w:r>
            <w:r w:rsidRPr="00C94196">
              <w:t>est and metering schemes</w:t>
            </w:r>
          </w:p>
          <w:p w:rsidR="00000000" w:rsidRPr="00C94196" w:rsidP="00C94196">
            <w:pPr>
              <w:pStyle w:val="BodyText"/>
            </w:pPr>
            <w:r w:rsidRPr="00C94196">
              <w:t>UETTDRTS29 Develop power systems secondary isolation instructional documents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4" w:name="O_1005540"/>
      <w:bookmarkEnd w:id="4"/>
      <w:r w:rsidRPr="00C941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Testing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5" w:name="O_1005541"/>
      <w:bookmarkEnd w:id="5"/>
      <w:r w:rsidRPr="00C941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Not applicable.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6" w:name="O_1005542"/>
      <w:bookmarkEnd w:id="6"/>
      <w:r w:rsidRPr="00C941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PERFORMANCE CRITERIA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Performance criteria describe the performance needed to demonstrate achievement of the element.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Plan for the commissioning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Work health and safety (WHS)</w:t>
            </w:r>
            <w:r w:rsidRPr="00C94196">
              <w:t>/occupational health and safety (OHS) practices/procedures and environmental and sustainable energy procedures, which may influence the commissioning of metering schemes, are reviewed and determined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Purpose of the commissioning of metering schemes is established after data is analysed and expected outcomes of the work are confirmed with appropriate personnel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Organisational established procedures on policies and specifications for the commission</w:t>
            </w:r>
            <w:r w:rsidRPr="00C94196">
              <w:t>ing of metering schemes are obtained or established with appropriate personnel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Testing procedures are discussed with/directed to appropriate personnel in order to ascertain the project brief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Testing parameters are established from organisatio</w:t>
            </w:r>
            <w:r w:rsidRPr="00C94196">
              <w:t>nal established procedures on policies and specifications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 xml:space="preserve">Equipment/tools and personal protective equipment (PPE) are selected based on specified performance </w:t>
            </w:r>
            <w:r w:rsidRPr="00C94196">
              <w:t>criteria and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Work roles and tasks are allocated according to requirements and individual competencies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Work is prioritised and sequenced for the most efficient/effective outcome, completed within an acceptable timeframe, to a quality standard and in accordance wi</w:t>
            </w:r>
            <w:r w:rsidRPr="00C94196">
              <w:t>th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Risk control measures are identified, prioritised and</w:t>
            </w:r>
            <w:r w:rsidRPr="00C94196">
              <w:t xml:space="preserve"> evaluated against the work schedule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Relevant work permits are secured to coordinate the performance of work according to requirements and/or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Carry out the commissioning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Circuit/systems modelling is used to evaluate alternative proposals in accordance with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WHS/OHS and sustainable energy principles, functionality and practices to reduce the incidents of accidents and minimise waste are incorpor</w:t>
            </w:r>
            <w:r w:rsidRPr="00C94196">
              <w:t>ated into the project in accordance with requirements and/or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Commissioning of metering scheme decisions are made on the basis of safety and effective outcomes according to requirements and/or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Mathematical/engineering models of the commissioning of metering schemes are used to analyse the effectiveness of the finished project in accordance with requirements and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 xml:space="preserve">Technical advice is given regarding potential hazards, </w:t>
            </w:r>
            <w:r w:rsidRPr="00C94196">
              <w:t>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Essential knowledge and associated s</w:t>
            </w:r>
            <w:r w:rsidRPr="00C94196">
              <w:t>kills are applied to analyse specific data and compare it with compliance specifications to ensure completion of the project within an agreed timeframe according to requirements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Testing of the commissioning of metering schemes is undertaken accordin</w:t>
            </w:r>
            <w:r w:rsidRPr="00C94196">
              <w:t>g to requirements and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Work teams/groups are arranged/coordinated/evaluated to ensure planned goals are met according to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Solutions to</w:t>
            </w:r>
            <w:r w:rsidRPr="00C94196">
              <w:t xml:space="preserve"> non-routine problems are identified and actioned, using acquired essential knowledge and associated skills, according to requirements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Quality of work is monitored against personal performance agreement and/or established organisational and profess</w:t>
            </w:r>
            <w:r w:rsidRPr="00C94196">
              <w:t>ional standards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Strategic plans are developed incorporating organisation initiatives in accordance with established procedures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rPr>
                <w:rStyle w:val="SpecialBold"/>
              </w:rPr>
              <w:t>Complete the commissioning of metering schemes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Final inspections of the commissioning of metering schemes are unde</w:t>
            </w:r>
            <w:r w:rsidRPr="00C94196">
              <w:t>rtaken to ensure they comply with all requirements and include all specifications and documentations needed to complete the project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Appropriate personnel are notified of completion and reports and/or completion documents are finalised/commissioned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t>Reports and/or completion documents are submitted to relevant personnel/organisations for approval and, where applicable, statutory or regulatory approval</w:t>
            </w:r>
          </w:p>
        </w:tc>
      </w:tr>
      <w:tr w:rsidTr="00C941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196">
            <w:pPr>
              <w:pStyle w:val="BodyText"/>
              <w:rPr>
                <w:lang w:val="en-NZ"/>
              </w:rPr>
            </w:pPr>
            <w:r w:rsidRPr="00C941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Approved copies of the commissioning of metering schemes documents are issued and record</w:t>
            </w:r>
            <w:r w:rsidRPr="00C94196">
              <w:t>s are updated in accordance with established procedures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7" w:name="O_1005543"/>
      <w:bookmarkEnd w:id="7"/>
      <w:r w:rsidRPr="00C941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Foundation skills essential to performance are explicit in the performance criteria of this unit of competency.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8" w:name="O_1005544"/>
      <w:bookmarkEnd w:id="8"/>
      <w:r w:rsidRPr="00C941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Range is restricted to essential operating conditions and any other variables essential to the work environment.</w:t>
            </w:r>
          </w:p>
          <w:p w:rsidR="00000000" w:rsidRPr="00C94196" w:rsidP="00C94196">
            <w:pPr>
              <w:pStyle w:val="BodyText"/>
            </w:pPr>
            <w:r w:rsidRPr="00C94196">
              <w:t>Non-essential conditions may be found in the Companion Volume Implementation Guide.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9" w:name="O_1005545"/>
      <w:bookmarkEnd w:id="9"/>
      <w:r w:rsidRPr="00C941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1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196" w:rsidP="00C94196">
            <w:pPr>
              <w:pStyle w:val="BodyText"/>
            </w:pPr>
            <w:r w:rsidRPr="00C94196">
              <w:t>This unit rep</w:t>
            </w:r>
            <w:r w:rsidRPr="00C94196">
              <w:t>laces and is equivalent to UETTDRTS26A Commission power systems metering schemes.</w:t>
            </w:r>
          </w:p>
        </w:tc>
      </w:tr>
    </w:tbl>
    <w:p w:rsidR="00000000" w:rsidRPr="00C94196" w:rsidP="00C94196">
      <w:pPr>
        <w:pStyle w:val="NoPaddingFontSize1"/>
      </w:pPr>
    </w:p>
    <w:p w:rsidR="00000000" w:rsidRPr="00C94196" w:rsidP="00C94196">
      <w:pPr>
        <w:pStyle w:val="AllowPageBreak"/>
      </w:pPr>
    </w:p>
    <w:p w:rsidR="00000000" w:rsidRPr="00C94196" w:rsidP="00C94196">
      <w:pPr>
        <w:pStyle w:val="Heading1"/>
      </w:pPr>
      <w:bookmarkStart w:id="10" w:name="O_1005552"/>
      <w:bookmarkEnd w:id="10"/>
      <w:r w:rsidRPr="00C94196">
        <w:t>Links</w:t>
      </w:r>
    </w:p>
    <w:p w:rsidR="00000000" w:rsidRPr="00C94196" w:rsidP="00DC582D">
      <w:pPr>
        <w:pStyle w:val="BodyText"/>
      </w:pPr>
      <w:r w:rsidRPr="00C9419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A50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4196" w:rsidP="00C94196"/>
    <w:sectPr w:rsidSect="00C941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6" w:rsidRPr="00DC582D" w:rsidP="00DC5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2D" w:rsidP="00C94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82D" w:rsidP="00C94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582D" w:rsidP="00C94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196" w:rsidRPr="00DC582D" w:rsidP="00DC5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82D" w:rsidRPr="002D2AF8" w:rsidP="00C94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UETTDRTS26 Commission power systems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C582D" w:rsidP="00C94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196"/>
  </w:style>
  <w:style w:type="character" w:customStyle="1" w:styleId="Heading1Char">
    <w:name w:val="Heading 1 Char"/>
    <w:basedOn w:val="DefaultParagraphFont"/>
    <w:link w:val="Heading1"/>
    <w:rsid w:val="00C94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1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4196"/>
    <w:rPr>
      <w:b/>
      <w:spacing w:val="0"/>
    </w:rPr>
  </w:style>
  <w:style w:type="paragraph" w:customStyle="1" w:styleId="SuperHeading">
    <w:name w:val="SuperHeading"/>
    <w:basedOn w:val="Normal"/>
    <w:rsid w:val="00C94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4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1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1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4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1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1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196"/>
    <w:rPr>
      <w:i/>
    </w:rPr>
  </w:style>
  <w:style w:type="paragraph" w:styleId="Caption">
    <w:name w:val="caption"/>
    <w:basedOn w:val="BodyText"/>
    <w:next w:val="Normal"/>
    <w:qFormat/>
    <w:rsid w:val="00C94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196"/>
  </w:style>
  <w:style w:type="paragraph" w:styleId="TableofFigures">
    <w:name w:val="table of figures"/>
    <w:basedOn w:val="Normal"/>
    <w:next w:val="Normal"/>
    <w:semiHidden/>
    <w:rsid w:val="00C94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1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4196"/>
    <w:rPr>
      <w:rFonts w:ascii="Wingdings" w:hAnsi="Wingdings"/>
    </w:rPr>
  </w:style>
  <w:style w:type="paragraph" w:customStyle="1" w:styleId="TableHeading">
    <w:name w:val="Table Heading"/>
    <w:basedOn w:val="HeadingBase"/>
    <w:rsid w:val="00C94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196"/>
    <w:rPr>
      <w:color w:val="0033CC"/>
      <w:u w:val="none"/>
    </w:rPr>
  </w:style>
  <w:style w:type="paragraph" w:customStyle="1" w:styleId="BodyTextRight">
    <w:name w:val="Body Text Right"/>
    <w:basedOn w:val="BodyText"/>
    <w:rsid w:val="00C94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1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196"/>
    <w:rPr>
      <w:sz w:val="32"/>
    </w:rPr>
  </w:style>
  <w:style w:type="paragraph" w:customStyle="1" w:styleId="HeadingProcedure">
    <w:name w:val="Heading Procedure"/>
    <w:basedOn w:val="HeadingBase"/>
    <w:next w:val="Normal"/>
    <w:rsid w:val="00C94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196"/>
    <w:pPr>
      <w:spacing w:before="60" w:after="60"/>
    </w:pPr>
  </w:style>
  <w:style w:type="paragraph" w:styleId="ListContinue">
    <w:name w:val="List Continue"/>
    <w:basedOn w:val="List"/>
    <w:rsid w:val="00C94196"/>
    <w:pPr>
      <w:ind w:firstLine="0"/>
    </w:pPr>
  </w:style>
  <w:style w:type="paragraph" w:customStyle="1" w:styleId="ListNote">
    <w:name w:val="List Note"/>
    <w:basedOn w:val="List"/>
    <w:rsid w:val="00C94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196"/>
    <w:rPr>
      <w:rFonts w:ascii="Courier New" w:hAnsi="Courier New"/>
    </w:rPr>
  </w:style>
  <w:style w:type="paragraph" w:customStyle="1" w:styleId="NoteBullet">
    <w:name w:val="Note Bullet"/>
    <w:basedOn w:val="Note"/>
    <w:rsid w:val="00C94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1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4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196"/>
    <w:rPr>
      <w:b/>
      <w:smallCaps/>
    </w:rPr>
  </w:style>
  <w:style w:type="paragraph" w:customStyle="1" w:styleId="TableListNumber">
    <w:name w:val="Table List Number"/>
    <w:basedOn w:val="ListNumber"/>
    <w:rsid w:val="00C94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196"/>
    <w:pPr>
      <w:numPr>
        <w:numId w:val="7"/>
      </w:numPr>
    </w:pPr>
  </w:style>
  <w:style w:type="paragraph" w:customStyle="1" w:styleId="ListAlpha2">
    <w:name w:val="List Alpha 2"/>
    <w:basedOn w:val="List2"/>
    <w:rsid w:val="00C94196"/>
    <w:pPr>
      <w:numPr>
        <w:numId w:val="6"/>
      </w:numPr>
    </w:pPr>
  </w:style>
  <w:style w:type="paragraph" w:styleId="List2">
    <w:name w:val="List 2"/>
    <w:basedOn w:val="BodyText"/>
    <w:rsid w:val="00C94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1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1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4196"/>
    <w:pPr>
      <w:numPr>
        <w:numId w:val="2"/>
      </w:numPr>
    </w:pPr>
  </w:style>
  <w:style w:type="paragraph" w:styleId="ListContinue2">
    <w:name w:val="List Continue 2"/>
    <w:basedOn w:val="List2"/>
    <w:rsid w:val="00C94196"/>
    <w:pPr>
      <w:ind w:firstLine="0"/>
    </w:pPr>
  </w:style>
  <w:style w:type="paragraph" w:styleId="ListContinue3">
    <w:name w:val="List Continue 3"/>
    <w:basedOn w:val="List3"/>
    <w:rsid w:val="00C94196"/>
    <w:pPr>
      <w:ind w:left="1021" w:firstLine="0"/>
    </w:pPr>
  </w:style>
  <w:style w:type="paragraph" w:styleId="ListContinue4">
    <w:name w:val="List Continue 4"/>
    <w:basedOn w:val="List4"/>
    <w:rsid w:val="00C94196"/>
    <w:pPr>
      <w:ind w:firstLine="0"/>
    </w:pPr>
  </w:style>
  <w:style w:type="paragraph" w:styleId="ListContinue5">
    <w:name w:val="List Continue 5"/>
    <w:basedOn w:val="List5"/>
    <w:rsid w:val="00C94196"/>
    <w:pPr>
      <w:ind w:firstLine="0"/>
    </w:pPr>
  </w:style>
  <w:style w:type="paragraph" w:styleId="ListNumber3">
    <w:name w:val="List Number 3"/>
    <w:basedOn w:val="List3"/>
    <w:rsid w:val="00C94196"/>
    <w:pPr>
      <w:numPr>
        <w:numId w:val="3"/>
      </w:numPr>
    </w:pPr>
  </w:style>
  <w:style w:type="paragraph" w:styleId="ListNumber4">
    <w:name w:val="List Number 4"/>
    <w:basedOn w:val="List4"/>
    <w:rsid w:val="00C94196"/>
    <w:pPr>
      <w:numPr>
        <w:numId w:val="4"/>
      </w:numPr>
    </w:pPr>
  </w:style>
  <w:style w:type="paragraph" w:styleId="ListNumber5">
    <w:name w:val="List Number 5"/>
    <w:basedOn w:val="List5"/>
    <w:rsid w:val="00C94196"/>
    <w:pPr>
      <w:numPr>
        <w:numId w:val="5"/>
      </w:numPr>
    </w:pPr>
  </w:style>
  <w:style w:type="paragraph" w:styleId="BlockText">
    <w:name w:val="Block Text"/>
    <w:basedOn w:val="Normal"/>
    <w:rsid w:val="00C94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196"/>
    <w:rPr>
      <w:sz w:val="16"/>
      <w:vertAlign w:val="superscript"/>
    </w:rPr>
  </w:style>
  <w:style w:type="character" w:customStyle="1" w:styleId="Symbols">
    <w:name w:val="Symbols"/>
    <w:basedOn w:val="DefaultParagraphFont"/>
    <w:rsid w:val="00C94196"/>
    <w:rPr>
      <w:rFonts w:ascii="Symbol" w:hAnsi="Symbol"/>
    </w:rPr>
  </w:style>
  <w:style w:type="character" w:customStyle="1" w:styleId="MenuOptions">
    <w:name w:val="Menu Options"/>
    <w:basedOn w:val="DefaultParagraphFont"/>
    <w:rsid w:val="00C94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196"/>
    <w:rPr>
      <w:b/>
    </w:rPr>
  </w:style>
  <w:style w:type="character" w:customStyle="1" w:styleId="Underlined">
    <w:name w:val="Underlined"/>
    <w:basedOn w:val="DefaultParagraphFont"/>
    <w:rsid w:val="00C94196"/>
    <w:rPr>
      <w:u w:val="single"/>
    </w:rPr>
  </w:style>
  <w:style w:type="paragraph" w:customStyle="1" w:styleId="TableBodyTextRight">
    <w:name w:val="Table Body Text Right"/>
    <w:basedOn w:val="TableBodyText"/>
    <w:rsid w:val="00C94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196"/>
    <w:rPr>
      <w:sz w:val="18"/>
    </w:rPr>
  </w:style>
  <w:style w:type="paragraph" w:customStyle="1" w:styleId="BodySmallRight">
    <w:name w:val="Body Small Right"/>
    <w:basedOn w:val="BodyTextRight"/>
    <w:rsid w:val="00C94196"/>
    <w:rPr>
      <w:sz w:val="18"/>
      <w:szCs w:val="18"/>
    </w:rPr>
  </w:style>
  <w:style w:type="paragraph" w:customStyle="1" w:styleId="MarginEdition">
    <w:name w:val="Margin Edition"/>
    <w:basedOn w:val="MarginNote"/>
    <w:rsid w:val="00C94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196"/>
    <w:rPr>
      <w:sz w:val="2"/>
      <w:szCs w:val="2"/>
    </w:rPr>
  </w:style>
  <w:style w:type="character" w:customStyle="1" w:styleId="Small">
    <w:name w:val="Small"/>
    <w:basedOn w:val="DefaultParagraphFont"/>
    <w:rsid w:val="00C94196"/>
    <w:rPr>
      <w:sz w:val="16"/>
    </w:rPr>
  </w:style>
  <w:style w:type="paragraph" w:customStyle="1" w:styleId="WideTable">
    <w:name w:val="Wide Table"/>
    <w:basedOn w:val="Normal"/>
    <w:rsid w:val="00C94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196"/>
  </w:style>
  <w:style w:type="paragraph" w:styleId="Quote">
    <w:name w:val="Quote"/>
    <w:basedOn w:val="Heading1"/>
    <w:link w:val="QuoteChar"/>
    <w:qFormat/>
    <w:rsid w:val="00C94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196"/>
    <w:pPr>
      <w:pageBreakBefore/>
    </w:pPr>
  </w:style>
  <w:style w:type="paragraph" w:customStyle="1" w:styleId="Border">
    <w:name w:val="Border"/>
    <w:basedOn w:val="Normal"/>
    <w:qFormat/>
    <w:rsid w:val="00C94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196"/>
    <w:rPr>
      <w:u w:val="single"/>
    </w:rPr>
  </w:style>
  <w:style w:type="character" w:customStyle="1" w:styleId="BoldandItalics">
    <w:name w:val="Bold and Italics"/>
    <w:qFormat/>
    <w:rsid w:val="00C94196"/>
    <w:rPr>
      <w:b/>
      <w:i/>
      <w:u w:val="none"/>
    </w:rPr>
  </w:style>
  <w:style w:type="paragraph" w:styleId="BalloonText">
    <w:name w:val="Balloon Text"/>
    <w:basedOn w:val="Normal"/>
    <w:link w:val="BalloonTextChar"/>
    <w:rsid w:val="00C94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196"/>
    <w:pPr>
      <w:spacing w:before="0" w:after="0"/>
    </w:pPr>
  </w:style>
  <w:style w:type="paragraph" w:customStyle="1" w:styleId="BodyTextBold">
    <w:name w:val="Body Text Bold"/>
    <w:basedOn w:val="BodyText"/>
    <w:qFormat/>
    <w:rsid w:val="00C94196"/>
    <w:rPr>
      <w:b/>
    </w:rPr>
  </w:style>
  <w:style w:type="character" w:styleId="Hyperlink">
    <w:name w:val="Hyperlink"/>
    <w:basedOn w:val="DefaultParagraphFont"/>
    <w:uiPriority w:val="99"/>
    <w:unhideWhenUsed/>
    <w:rsid w:val="00DC5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6793</Characters>
  <Application>Microsoft Office Word</Application>
  <DocSecurity>0</DocSecurity>
  <Lines>261</Lines>
  <Paragraphs>121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UETTDRTS26 Commission power systems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