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3C5" w:rsidP="002843C5">
      <w:pPr>
        <w:pStyle w:val="Title"/>
      </w:pPr>
      <w:r>
        <w:fldChar w:fldCharType="begin"/>
      </w:r>
      <w:r>
        <w:instrText xml:space="preserve"> TITLE   \* MERGEFORMAT </w:instrText>
      </w:r>
      <w:r>
        <w:fldChar w:fldCharType="separate"/>
      </w:r>
      <w:r>
        <w:t>UETTDRTS24 Design testing and commissioning procedures for field devices and substations</w:t>
      </w:r>
      <w:r>
        <w:fldChar w:fldCharType="end"/>
      </w:r>
    </w:p>
    <w:p w:rsidR="002843C5" w:rsidP="002843C5">
      <w:pPr>
        <w:pStyle w:val="Version"/>
        <w:sectPr w:rsidSect="00D13F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F84" w:rsidP="00D13F84">
      <w:pPr>
        <w:pStyle w:val="SuperHeading"/>
      </w:pPr>
      <w:r w:rsidRPr="00D13F84">
        <w:t>UETTDRTS24 Design testing and commissioning procedures for field devices and substations</w:t>
      </w:r>
    </w:p>
    <w:p w:rsidR="00000000" w:rsidRPr="00D13F84" w:rsidP="00D13F84">
      <w:pPr>
        <w:pStyle w:val="Heading1"/>
      </w:pPr>
      <w:bookmarkStart w:id="1" w:name="O_1005499"/>
      <w:bookmarkEnd w:id="1"/>
      <w:r w:rsidRPr="00D13F84">
        <w:t>Modification History</w:t>
      </w:r>
    </w:p>
    <w:tbl>
      <w:tblPr>
        <w:tblW w:w="9497" w:type="dxa"/>
        <w:tblLayout w:type="fixed"/>
        <w:tblCellMar>
          <w:left w:w="62" w:type="dxa"/>
          <w:right w:w="62" w:type="dxa"/>
        </w:tblCellMar>
        <w:tblLook w:val="0000"/>
      </w:tblPr>
      <w:tblGrid>
        <w:gridCol w:w="9497"/>
      </w:tblGrid>
      <w:tr w:rsidTr="00D13F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t>Release 1. This is the first release of this unit of competency in the UET Transmission, Distribution and Rail Sector Training Package.</w:t>
            </w:r>
          </w:p>
        </w:tc>
      </w:tr>
    </w:tbl>
    <w:p w:rsidR="00000000" w:rsidRPr="00D13F84" w:rsidP="00D13F84">
      <w:pPr>
        <w:pStyle w:val="NoPaddingFontSize1"/>
      </w:pPr>
    </w:p>
    <w:p w:rsidR="00000000" w:rsidRPr="00D13F84" w:rsidP="00D13F84">
      <w:pPr>
        <w:pStyle w:val="AllowPageBreak"/>
      </w:pPr>
    </w:p>
    <w:p w:rsidR="00000000" w:rsidRPr="00D13F84" w:rsidP="00D13F84">
      <w:pPr>
        <w:pStyle w:val="Heading1"/>
      </w:pPr>
      <w:bookmarkStart w:id="2" w:name="O_1005500"/>
      <w:bookmarkEnd w:id="2"/>
      <w:r w:rsidRPr="00D13F84">
        <w:t>Application</w:t>
      </w:r>
    </w:p>
    <w:tbl>
      <w:tblPr>
        <w:tblW w:w="9497" w:type="dxa"/>
        <w:tblLayout w:type="fixed"/>
        <w:tblCellMar>
          <w:left w:w="62" w:type="dxa"/>
          <w:right w:w="62" w:type="dxa"/>
        </w:tblCellMar>
        <w:tblLook w:val="0000"/>
      </w:tblPr>
      <w:tblGrid>
        <w:gridCol w:w="9497"/>
      </w:tblGrid>
      <w:tr w:rsidTr="00D13F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t xml:space="preserve">This unit covers the testing and commissioning procedures for new substation and field </w:t>
            </w:r>
            <w:r w:rsidRPr="00D13F84">
              <w:t xml:space="preserve">devices in accordance with design. This will involve analysis of settings, and a thorough understanding of the circuit design, which will involve covering areas such as metering, communication circuits and supervisory control and data acquisition (SCADA). </w:t>
            </w:r>
          </w:p>
          <w:p w:rsidR="00000000" w:rsidRPr="00D13F84" w:rsidP="00D13F84">
            <w:pPr>
              <w:pStyle w:val="BodyText"/>
            </w:pPr>
            <w:r w:rsidRPr="00D13F84">
              <w:t>It also includes the procedures needed to enable proof of correct operation of all circuits to design specifications. It also encompasses the need for supplying accurate communication in the format that is acceptable to the operating or testing authority.</w:t>
            </w:r>
          </w:p>
          <w:p w:rsidR="00000000" w:rsidRPr="00D13F84" w:rsidP="00D13F84">
            <w:pPr>
              <w:pStyle w:val="BodyText"/>
            </w:pPr>
            <w:r w:rsidRPr="00D13F84">
              <w:t xml:space="preserve">The application of the skills and knowledge described in this unit may require a licence/registration to practice in the workplace subject to regulations for undertaking of electrical work.  </w:t>
            </w:r>
          </w:p>
          <w:p w:rsidR="00000000" w:rsidRPr="00D13F84" w:rsidP="00D13F84">
            <w:pPr>
              <w:pStyle w:val="BodyText"/>
            </w:pPr>
            <w:r w:rsidRPr="00D13F84">
              <w:t>Other conditions may apply under state and territory legislativ</w:t>
            </w:r>
            <w:r w:rsidRPr="00D13F84">
              <w:t>e and regulatory licencing requirements which must be confirmed prior to commencing this unit.</w:t>
            </w:r>
          </w:p>
        </w:tc>
      </w:tr>
    </w:tbl>
    <w:p w:rsidR="00000000" w:rsidRPr="00D13F84" w:rsidP="00D13F84">
      <w:pPr>
        <w:pStyle w:val="NoPaddingFontSize1"/>
      </w:pPr>
    </w:p>
    <w:p w:rsidR="00000000" w:rsidRPr="00D13F84" w:rsidP="00D13F84">
      <w:pPr>
        <w:pStyle w:val="AllowPageBreak"/>
      </w:pPr>
    </w:p>
    <w:p w:rsidR="00000000" w:rsidRPr="00D13F84" w:rsidP="00D13F84">
      <w:pPr>
        <w:pStyle w:val="Heading1"/>
      </w:pPr>
      <w:bookmarkStart w:id="3" w:name="O_1005501"/>
      <w:bookmarkEnd w:id="3"/>
      <w:r w:rsidRPr="00D13F84">
        <w:t>Pre-requisite Unit</w:t>
      </w:r>
    </w:p>
    <w:tbl>
      <w:tblPr>
        <w:tblW w:w="9497" w:type="dxa"/>
        <w:tblLayout w:type="fixed"/>
        <w:tblCellMar>
          <w:left w:w="62" w:type="dxa"/>
          <w:right w:w="62" w:type="dxa"/>
        </w:tblCellMar>
        <w:tblLook w:val="0000"/>
      </w:tblPr>
      <w:tblGrid>
        <w:gridCol w:w="9497"/>
      </w:tblGrid>
      <w:tr w:rsidTr="00D13F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t>All competencies in the Common Unit Group must have been completed, plus all competencies in one (1) of the identified Pa</w:t>
            </w:r>
            <w:r w:rsidRPr="00D13F84">
              <w:t xml:space="preserve">thway Unit Group(s). </w:t>
            </w:r>
          </w:p>
          <w:p w:rsidR="00000000" w:rsidRPr="00D13F84" w:rsidP="00D13F84">
            <w:pPr>
              <w:pStyle w:val="BodyText"/>
            </w:pPr>
            <w:r w:rsidRPr="00D13F84">
              <w:t>Common Unit Group</w:t>
            </w:r>
          </w:p>
          <w:p w:rsidR="00000000" w:rsidRPr="00D13F84" w:rsidP="00D13F84">
            <w:pPr>
              <w:pStyle w:val="BodyText"/>
            </w:pPr>
            <w:r w:rsidRPr="00D13F84">
              <w:t>UEENEED104A Use engineering applications software on personal computers</w:t>
            </w:r>
          </w:p>
          <w:p w:rsidR="00000000" w:rsidRPr="00D13F84" w:rsidP="00D13F84">
            <w:pPr>
              <w:pStyle w:val="BodyText"/>
            </w:pPr>
            <w:r w:rsidRPr="00D13F84">
              <w:t>UEENEEE101A Apply Occupational Health and Safety regulations, codes and practices in the workplace</w:t>
            </w:r>
          </w:p>
          <w:p w:rsidR="00000000" w:rsidRPr="00D13F84" w:rsidP="00D13F84">
            <w:pPr>
              <w:pStyle w:val="BodyText"/>
            </w:pPr>
            <w:r w:rsidRPr="00D13F84">
              <w:t>UEENEEE102A Fabricate, assemble and dismantle</w:t>
            </w:r>
            <w:r w:rsidRPr="00D13F84">
              <w:t xml:space="preserve"> utilities industry components</w:t>
            </w:r>
          </w:p>
          <w:p w:rsidR="00000000" w:rsidRPr="00D13F84" w:rsidP="00D13F84">
            <w:pPr>
              <w:pStyle w:val="BodyText"/>
            </w:pPr>
            <w:r w:rsidRPr="00D13F84">
              <w:t>UEENEEE104A Solve problems in d.c. circuits</w:t>
            </w:r>
          </w:p>
          <w:p w:rsidR="00000000" w:rsidRPr="00D13F84" w:rsidP="00D13F84">
            <w:pPr>
              <w:pStyle w:val="BodyText"/>
            </w:pPr>
            <w:r w:rsidRPr="00D13F84">
              <w:t>UEENEEE107A Use drawings, diagrams, schedules, standards, codes and specifications</w:t>
            </w:r>
          </w:p>
          <w:p w:rsidR="00000000" w:rsidRPr="00D13F84" w:rsidP="00D13F84">
            <w:pPr>
              <w:pStyle w:val="BodyText"/>
            </w:pPr>
            <w:r w:rsidRPr="00D13F84">
              <w:t>UEENEEE124A Compile and produce an energy sector detailed report</w:t>
            </w:r>
          </w:p>
          <w:p w:rsidR="00000000" w:rsidRPr="00D13F84" w:rsidP="00D13F84">
            <w:pPr>
              <w:pStyle w:val="BodyText"/>
            </w:pPr>
            <w:r w:rsidRPr="00D13F84">
              <w:t>UEENEEE125A Provide engineering solutions for problems in complex multiple path circuits</w:t>
            </w:r>
          </w:p>
          <w:p w:rsidR="00000000" w:rsidRPr="00D13F84" w:rsidP="00D13F84">
            <w:pPr>
              <w:pStyle w:val="BodyText"/>
            </w:pPr>
            <w:r w:rsidRPr="00D13F84">
              <w:t>UEENEEE126A Provide solutions to basic engineering computational problems</w:t>
            </w:r>
          </w:p>
          <w:p w:rsidR="00000000" w:rsidRPr="00D13F84" w:rsidP="00D13F84">
            <w:pPr>
              <w:pStyle w:val="BodyText"/>
            </w:pPr>
            <w:r w:rsidRPr="00D13F84">
              <w:t>UEENEEG101A Solve problems in electromagnetic devices and related circuits</w:t>
            </w:r>
          </w:p>
          <w:p w:rsidR="00000000" w:rsidRPr="00D13F84" w:rsidP="00D13F84">
            <w:pPr>
              <w:pStyle w:val="BodyText"/>
            </w:pPr>
            <w:r w:rsidRPr="00D13F84">
              <w:t xml:space="preserve">UEENEEG102A Solve </w:t>
            </w:r>
            <w:r w:rsidRPr="00D13F84">
              <w:t>problems in low voltage a.c. circuits</w:t>
            </w:r>
          </w:p>
          <w:p w:rsidR="00000000" w:rsidRPr="00D13F84" w:rsidP="00D13F84">
            <w:pPr>
              <w:pStyle w:val="BodyText"/>
            </w:pPr>
            <w:r w:rsidRPr="00D13F84">
              <w:t>UEENEEG149A Provide engineering solutions to problems in complex polyphase power circuits</w:t>
            </w:r>
          </w:p>
          <w:p w:rsidR="00000000" w:rsidRPr="00D13F84" w:rsidP="00D13F84">
            <w:pPr>
              <w:pStyle w:val="BodyText"/>
            </w:pPr>
            <w:r w:rsidRPr="00D13F84">
              <w:t>UETTDREL11 Apply sustainable energy and environmental procedures</w:t>
            </w:r>
          </w:p>
          <w:p w:rsidR="00000000" w:rsidRPr="00D13F84" w:rsidP="00D13F84">
            <w:pPr>
              <w:pStyle w:val="BodyText"/>
            </w:pPr>
            <w:r w:rsidRPr="00D13F84">
              <w:t>UETTDREL16 Working safely near live electrical apparatus</w:t>
            </w:r>
          </w:p>
          <w:p w:rsidR="00000000" w:rsidRPr="00D13F84" w:rsidP="00D13F84">
            <w:pPr>
              <w:pStyle w:val="BodyText"/>
            </w:pPr>
            <w:r w:rsidRPr="00D13F84">
              <w:t>UETTDR</w:t>
            </w:r>
            <w:r w:rsidRPr="00D13F84">
              <w:t>IS62 Implement and monitor the power system organisational WHS/OHS policies, procedures and programs</w:t>
            </w:r>
          </w:p>
          <w:p w:rsidR="00000000" w:rsidRPr="00D13F84" w:rsidP="00D13F84">
            <w:pPr>
              <w:pStyle w:val="BodyText"/>
            </w:pPr>
            <w:r w:rsidRPr="00D13F84">
              <w:t>UETTDRIS63 Implement &amp; monitor power system environmental &amp; sustainable energy management policies &amp; procedures</w:t>
            </w:r>
          </w:p>
          <w:p w:rsidR="00000000" w:rsidRPr="00D13F84" w:rsidP="00D13F84">
            <w:pPr>
              <w:pStyle w:val="BodyText"/>
            </w:pPr>
            <w:r w:rsidRPr="00D13F84">
              <w:t>Protection Relays and Meters Pathway Unit G</w:t>
            </w:r>
            <w:r w:rsidRPr="00D13F84">
              <w:t>roup</w:t>
            </w:r>
          </w:p>
          <w:p w:rsidR="00000000" w:rsidRPr="00D13F84" w:rsidP="00D13F84">
            <w:pPr>
              <w:pStyle w:val="BodyText"/>
            </w:pPr>
            <w:r w:rsidRPr="00D13F84">
              <w:t>UETTDRTS28 Repair, test and calibrate protection relays and meters</w:t>
            </w:r>
          </w:p>
          <w:p w:rsidR="00000000" w:rsidRPr="00D13F84" w:rsidP="00D13F84">
            <w:pPr>
              <w:pStyle w:val="BodyText"/>
            </w:pPr>
            <w:r w:rsidRPr="00D13F84">
              <w:t>Metering Pathway Unit Group</w:t>
            </w:r>
          </w:p>
          <w:p w:rsidR="00000000" w:rsidRPr="00D13F84" w:rsidP="00D13F84">
            <w:pPr>
              <w:pStyle w:val="BodyText"/>
            </w:pPr>
            <w:r w:rsidRPr="00D13F84">
              <w:t>UETTDRTS25 Maintain and test and metering schemes</w:t>
            </w:r>
          </w:p>
          <w:p w:rsidR="00000000" w:rsidRPr="00D13F84" w:rsidP="00D13F84">
            <w:pPr>
              <w:pStyle w:val="BodyText"/>
            </w:pPr>
            <w:r w:rsidRPr="00D13F84">
              <w:t>UETTDRTS26 Commission power systems metering schemes</w:t>
            </w:r>
          </w:p>
          <w:p w:rsidR="00000000" w:rsidRPr="00D13F84" w:rsidP="00D13F84">
            <w:pPr>
              <w:pStyle w:val="BodyText"/>
            </w:pPr>
            <w:r w:rsidRPr="00D13F84">
              <w:t xml:space="preserve">UETTDRTS29 Develop power systems secondary isolation </w:t>
            </w:r>
            <w:r w:rsidRPr="00D13F84">
              <w:t>instructional documents</w:t>
            </w:r>
          </w:p>
          <w:p w:rsidR="00000000" w:rsidRPr="00D13F84" w:rsidP="00D13F84">
            <w:pPr>
              <w:pStyle w:val="BodyText"/>
            </w:pPr>
            <w:r w:rsidRPr="00D13F84">
              <w:t>Primary Plant Pathway Unit Group</w:t>
            </w:r>
          </w:p>
          <w:p w:rsidR="00000000" w:rsidRPr="00D13F84" w:rsidP="00D13F84">
            <w:pPr>
              <w:pStyle w:val="BodyText"/>
            </w:pPr>
            <w:r w:rsidRPr="00D13F84">
              <w:t>UETTDRTS29 Develop power systems secondary isolation instructional documents</w:t>
            </w:r>
          </w:p>
          <w:p w:rsidR="00000000" w:rsidRPr="00D13F84" w:rsidP="00D13F84">
            <w:pPr>
              <w:pStyle w:val="BodyText"/>
            </w:pPr>
            <w:r w:rsidRPr="00D13F84">
              <w:t>UETTDRTS32 Conduct evaluation of power systems primary plant</w:t>
            </w:r>
          </w:p>
          <w:p w:rsidR="00000000" w:rsidRPr="00D13F84" w:rsidP="00D13F84">
            <w:pPr>
              <w:pStyle w:val="BodyText"/>
            </w:pPr>
            <w:r w:rsidRPr="00D13F84">
              <w:t>Protection Systems Pathway Unit Group</w:t>
            </w:r>
          </w:p>
          <w:p w:rsidR="00000000" w:rsidRPr="00D13F84" w:rsidP="00D13F84">
            <w:pPr>
              <w:pStyle w:val="BodyText"/>
            </w:pPr>
            <w:r w:rsidRPr="00D13F84">
              <w:t>UETTDRTS21 Maintain int</w:t>
            </w:r>
            <w:r w:rsidRPr="00D13F84">
              <w:t>erdependent network protection and control systems</w:t>
            </w:r>
          </w:p>
          <w:p w:rsidR="00000000" w:rsidRPr="00D13F84" w:rsidP="00D13F84">
            <w:pPr>
              <w:pStyle w:val="BodyText"/>
            </w:pPr>
            <w:r w:rsidRPr="00D13F84">
              <w:t>UETTDRTS29 Develop power systems secondary isolation instructional documents</w:t>
            </w:r>
          </w:p>
          <w:p w:rsidR="00000000" w:rsidRPr="00D13F84" w:rsidP="00D13F84">
            <w:pPr>
              <w:pStyle w:val="BodyText"/>
            </w:pPr>
            <w:r w:rsidRPr="00D13F84">
              <w:t>UETTDRTS35 Maintain complex network protection and control systems</w:t>
            </w:r>
          </w:p>
        </w:tc>
      </w:tr>
    </w:tbl>
    <w:p w:rsidR="00000000" w:rsidRPr="00D13F84" w:rsidP="00D13F84">
      <w:pPr>
        <w:pStyle w:val="NoPaddingFontSize1"/>
      </w:pPr>
    </w:p>
    <w:p w:rsidR="00000000" w:rsidRPr="00D13F84" w:rsidP="00D13F84">
      <w:pPr>
        <w:pStyle w:val="AllowPageBreak"/>
      </w:pPr>
    </w:p>
    <w:p w:rsidR="00000000" w:rsidRPr="00D13F84" w:rsidP="00D13F84">
      <w:pPr>
        <w:pStyle w:val="Heading1"/>
      </w:pPr>
      <w:bookmarkStart w:id="4" w:name="O_1005502"/>
      <w:bookmarkEnd w:id="4"/>
      <w:r w:rsidRPr="00D13F84">
        <w:t>Competency Field</w:t>
      </w:r>
    </w:p>
    <w:tbl>
      <w:tblPr>
        <w:tblW w:w="9497" w:type="dxa"/>
        <w:tblLayout w:type="fixed"/>
        <w:tblCellMar>
          <w:left w:w="62" w:type="dxa"/>
          <w:right w:w="62" w:type="dxa"/>
        </w:tblCellMar>
        <w:tblLook w:val="0000"/>
      </w:tblPr>
      <w:tblGrid>
        <w:gridCol w:w="9497"/>
      </w:tblGrid>
      <w:tr w:rsidTr="00D13F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t>Testing</w:t>
            </w:r>
          </w:p>
        </w:tc>
      </w:tr>
    </w:tbl>
    <w:p w:rsidR="00000000" w:rsidRPr="00D13F84" w:rsidP="00D13F84">
      <w:pPr>
        <w:pStyle w:val="NoPaddingFontSize1"/>
      </w:pPr>
    </w:p>
    <w:p w:rsidR="00000000" w:rsidRPr="00D13F84" w:rsidP="00D13F84">
      <w:pPr>
        <w:pStyle w:val="AllowPageBreak"/>
      </w:pPr>
    </w:p>
    <w:p w:rsidR="00000000" w:rsidRPr="00D13F84" w:rsidP="00D13F84">
      <w:pPr>
        <w:pStyle w:val="Heading1"/>
      </w:pPr>
      <w:bookmarkStart w:id="5" w:name="O_1005503"/>
      <w:bookmarkEnd w:id="5"/>
      <w:r w:rsidRPr="00D13F84">
        <w:t>Unit Sector</w:t>
      </w:r>
    </w:p>
    <w:tbl>
      <w:tblPr>
        <w:tblW w:w="9497" w:type="dxa"/>
        <w:tblLayout w:type="fixed"/>
        <w:tblCellMar>
          <w:left w:w="62" w:type="dxa"/>
          <w:right w:w="62" w:type="dxa"/>
        </w:tblCellMar>
        <w:tblLook w:val="0000"/>
      </w:tblPr>
      <w:tblGrid>
        <w:gridCol w:w="9497"/>
      </w:tblGrid>
      <w:tr w:rsidTr="00D13F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t>Not applicable.</w:t>
            </w:r>
          </w:p>
        </w:tc>
      </w:tr>
    </w:tbl>
    <w:p w:rsidR="00000000" w:rsidRPr="00D13F84" w:rsidP="00D13F84">
      <w:pPr>
        <w:pStyle w:val="NoPaddingFontSize1"/>
      </w:pPr>
    </w:p>
    <w:p w:rsidR="00000000" w:rsidRPr="00D13F84" w:rsidP="00D13F84">
      <w:pPr>
        <w:pStyle w:val="AllowPageBreak"/>
      </w:pPr>
    </w:p>
    <w:p w:rsidR="00000000" w:rsidRPr="00D13F84" w:rsidP="00D13F84">
      <w:pPr>
        <w:pStyle w:val="Heading1"/>
      </w:pPr>
      <w:bookmarkStart w:id="6" w:name="O_1005504"/>
      <w:bookmarkEnd w:id="6"/>
      <w:r w:rsidRPr="00D13F8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13F8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PERFORMANCE CRITERIA</w:t>
            </w:r>
          </w:p>
        </w:tc>
      </w:tr>
      <w:tr w:rsidTr="00D13F8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Performance criteria describe the performance needed to demonstrate achievement of the element.</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rPr>
                <w:rStyle w:val="SpecialBold"/>
              </w:rPr>
              <w:t>Plan for the design of testing and commissioning procedures for substation and field devices</w:t>
            </w: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Work health and safety (WHS)/occupational health and safet</w:t>
            </w:r>
            <w:r w:rsidRPr="00D13F84">
              <w:t>y (OHS) practices/procedures and environmental and sustainable energy procedures, which may influence the undertaking of design of testing and commissioning procedures for substation and field devices, are reviewed and determined</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Purpose for designi</w:t>
            </w:r>
            <w:r w:rsidRPr="00D13F84">
              <w:t>ng of testing and commissioning procedures for substation and field devices is established after data is analysed and expected outcomes of the work are confirmed with appropriate personnel</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Organisational established procedures on policies and specifications for the design of testing and commissioning procedures for substation and field devices are obtained or established with appropriate personnel</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Testing procedures are discussed with</w:t>
            </w:r>
            <w:r w:rsidRPr="00D13F84">
              <w:t xml:space="preserve"> appropriate personnel in order to ascertain the project brief</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Testing parameters are established from organisational established procedures on policies and specifications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Equipment/tools and personal protective equipment (PPE) are selected b</w:t>
            </w:r>
            <w:r w:rsidRPr="00D13F84">
              <w:t>ased on specified performance criteria and established procedures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Work roles and tasks are allocated according to requirements and individual competencies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Work is prioritised and sequenced for the most efficient/effective outcome, completed within an acceptable timeframe, to a quality standard and in accordance with established procedures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Liaison and communication issues with others/authorised personn</w:t>
            </w:r>
            <w:r w:rsidRPr="00D13F84">
              <w:t>el, authorities, clients and land owners are resolved and activities coordinated to carry out work</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Risk control measures are identified, prioritised and evaluated against the work schedule</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Relevant work permits are secured to coordinate the</w:t>
            </w:r>
            <w:r w:rsidRPr="00D13F84">
              <w:t xml:space="preserve"> performance of work according to requirements and/or established procedures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rPr>
                <w:rStyle w:val="SpecialBold"/>
              </w:rPr>
              <w:t>Carry out the design of testing and commissioning procedures for substation and field devices</w:t>
            </w: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Circuit/systems modelling is used to evaluate alternative proposals in accordance with established procedures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WHS/OHS and sustainable energy principles, functionality and practices to reduce the incidents of accidents and minimise waste are incorpor</w:t>
            </w:r>
            <w:r w:rsidRPr="00D13F84">
              <w:t>ated into the project in accordance with requirements and/or established procedures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Design of testing and commissioning procedures for substation and field devices decisions are made on the basis of safety and effective outcomes according to require</w:t>
            </w:r>
            <w:r w:rsidRPr="00D13F84">
              <w:t>ments and/or established procedures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 xml:space="preserve">Mathematical and/or engineering models of design testing and commissioning procedures for substation and field devices are used to analyse the effectiveness of the finished project in accordance with requirements </w:t>
            </w:r>
            <w:r w:rsidRPr="00D13F84">
              <w:t>and established procedures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 xml:space="preserve">Technical advice is given regarding potential hazards, safety risks and control measures so that monitoring and preventative action can be </w:t>
            </w:r>
            <w:r w:rsidRPr="00D13F84">
              <w:t>undertaken and/or appropriate authorities consulted, where necessary, in accordance with requirements and established procedures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Essential knowledge and associated skills are applied to analyse specific data and compare it with compliance specificat</w:t>
            </w:r>
            <w:r w:rsidRPr="00D13F84">
              <w:t>ions to ensure completion of the project within an agreed timeframe according to requirements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Testing and commissioning procedures for substation and field devices are developed according to requirements and established procedures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Work teams/</w:t>
            </w:r>
            <w:r w:rsidRPr="00D13F84">
              <w:t>groups are arranged/coordinated/evaluated to ensure planned goals are met according to established procedures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Solutions to non-routine problems are identified and actioned, using acquired essential knowledge and associated skills, according to requirements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Quality of work is monitored against personal performance agreement and/or established organisational</w:t>
            </w:r>
            <w:r w:rsidRPr="00D13F84">
              <w:t xml:space="preserve"> and professional standards </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Strategic plans are developed incorporating organisation initiatives in accordance with established procedures</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rPr>
                <w:rStyle w:val="SpecialBold"/>
              </w:rPr>
              <w:t>Complete the design of testing and commissioning procedures for substation and field devices</w:t>
            </w: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Final re</w:t>
            </w:r>
            <w:r w:rsidRPr="00D13F84">
              <w:t>view of testing and commissioning procedures for substation and field devices is undertaken to ensure they comply with all requirements and include all specifications and documentations needed to complete the project</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Appropriate personnel are notifi</w:t>
            </w:r>
            <w:r w:rsidRPr="00D13F84">
              <w:t>ed of completion and reports and/or completion documents are finalised/commissioned</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t>Reports and/or completion documents are submitted to relevant personnel/organisations for approval and, where applicable, statutory or regulatory approval</w:t>
            </w:r>
          </w:p>
        </w:tc>
      </w:tr>
      <w:tr w:rsidTr="00D13F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3F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F84">
            <w:pPr>
              <w:pStyle w:val="BodyText"/>
              <w:rPr>
                <w:lang w:val="en-NZ"/>
              </w:rPr>
            </w:pPr>
            <w:r w:rsidRPr="00D13F8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t>Approved copies of design testing and commissioning procedures for substation and field devices documents are issued and records are updated in accordance with established procedures</w:t>
            </w:r>
          </w:p>
        </w:tc>
      </w:tr>
    </w:tbl>
    <w:p w:rsidR="00000000" w:rsidRPr="00D13F84" w:rsidP="00D13F84">
      <w:pPr>
        <w:pStyle w:val="NoPaddingFontSize1"/>
      </w:pPr>
    </w:p>
    <w:p w:rsidR="00000000" w:rsidRPr="00D13F84" w:rsidP="00D13F84">
      <w:pPr>
        <w:pStyle w:val="AllowPageBreak"/>
      </w:pPr>
    </w:p>
    <w:p w:rsidR="00000000" w:rsidRPr="00D13F84" w:rsidP="00D13F84">
      <w:pPr>
        <w:pStyle w:val="Heading1"/>
      </w:pPr>
      <w:bookmarkStart w:id="7" w:name="O_1005505"/>
      <w:bookmarkEnd w:id="7"/>
      <w:r w:rsidRPr="00D13F84">
        <w:t>Foundation Skills</w:t>
      </w:r>
    </w:p>
    <w:tbl>
      <w:tblPr>
        <w:tblW w:w="9497" w:type="dxa"/>
        <w:tblLayout w:type="fixed"/>
        <w:tblCellMar>
          <w:left w:w="62" w:type="dxa"/>
          <w:right w:w="62" w:type="dxa"/>
        </w:tblCellMar>
        <w:tblLook w:val="0000"/>
      </w:tblPr>
      <w:tblGrid>
        <w:gridCol w:w="9497"/>
      </w:tblGrid>
      <w:tr w:rsidTr="00D13F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t>Foundation skills essential to per</w:t>
            </w:r>
            <w:r w:rsidRPr="00D13F84">
              <w:t>formance are explicit in the performance criteria of this unit of competency.</w:t>
            </w:r>
          </w:p>
        </w:tc>
      </w:tr>
    </w:tbl>
    <w:p w:rsidR="00000000" w:rsidRPr="00D13F84" w:rsidP="00D13F84">
      <w:pPr>
        <w:pStyle w:val="NoPaddingFontSize1"/>
      </w:pPr>
    </w:p>
    <w:p w:rsidR="00000000" w:rsidRPr="00D13F84" w:rsidP="00D13F84">
      <w:pPr>
        <w:pStyle w:val="AllowPageBreak"/>
      </w:pPr>
    </w:p>
    <w:p w:rsidR="00000000" w:rsidRPr="00D13F84" w:rsidP="00D13F84">
      <w:pPr>
        <w:pStyle w:val="Heading1"/>
      </w:pPr>
      <w:bookmarkStart w:id="8" w:name="O_1005506"/>
      <w:bookmarkEnd w:id="8"/>
      <w:r w:rsidRPr="00D13F84">
        <w:t>Range of Conditions</w:t>
      </w:r>
    </w:p>
    <w:tbl>
      <w:tblPr>
        <w:tblW w:w="9497" w:type="dxa"/>
        <w:tblLayout w:type="fixed"/>
        <w:tblCellMar>
          <w:left w:w="62" w:type="dxa"/>
          <w:right w:w="62" w:type="dxa"/>
        </w:tblCellMar>
        <w:tblLook w:val="0000"/>
      </w:tblPr>
      <w:tblGrid>
        <w:gridCol w:w="9497"/>
      </w:tblGrid>
      <w:tr w:rsidTr="00D13F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t>Range is restricted to essential operating conditions and any other variables essential to the work environment.</w:t>
            </w:r>
          </w:p>
          <w:p w:rsidR="00000000" w:rsidRPr="00D13F84" w:rsidP="00D13F84">
            <w:pPr>
              <w:pStyle w:val="BodyText"/>
            </w:pPr>
            <w:r w:rsidRPr="00D13F84">
              <w:t>Non-essential conditions may be found in the Companion Volume Implementation Guide.</w:t>
            </w:r>
          </w:p>
        </w:tc>
      </w:tr>
    </w:tbl>
    <w:p w:rsidR="00000000" w:rsidRPr="00D13F84" w:rsidP="00D13F84">
      <w:pPr>
        <w:pStyle w:val="NoPaddingFontSize1"/>
      </w:pPr>
    </w:p>
    <w:p w:rsidR="00000000" w:rsidRPr="00D13F84" w:rsidP="00D13F84">
      <w:pPr>
        <w:pStyle w:val="AllowPageBreak"/>
      </w:pPr>
    </w:p>
    <w:p w:rsidR="00000000" w:rsidRPr="00D13F84" w:rsidP="00D13F84">
      <w:pPr>
        <w:pStyle w:val="Heading1"/>
      </w:pPr>
      <w:bookmarkStart w:id="9" w:name="O_1005507"/>
      <w:bookmarkEnd w:id="9"/>
      <w:r w:rsidRPr="00D13F84">
        <w:t>Unit Mapping Information</w:t>
      </w:r>
    </w:p>
    <w:tbl>
      <w:tblPr>
        <w:tblW w:w="9497" w:type="dxa"/>
        <w:tblLayout w:type="fixed"/>
        <w:tblCellMar>
          <w:left w:w="62" w:type="dxa"/>
          <w:right w:w="62" w:type="dxa"/>
        </w:tblCellMar>
        <w:tblLook w:val="0000"/>
      </w:tblPr>
      <w:tblGrid>
        <w:gridCol w:w="9497"/>
      </w:tblGrid>
      <w:tr w:rsidTr="00D13F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F84" w:rsidP="00D13F84">
            <w:pPr>
              <w:pStyle w:val="BodyText"/>
            </w:pPr>
            <w:r w:rsidRPr="00D13F84">
              <w:t>This unit replaces and is equivalent to UETTDRTS24A Design testing and commissioning procedures for field devices and substati</w:t>
            </w:r>
            <w:r w:rsidRPr="00D13F84">
              <w:t>ons.</w:t>
            </w:r>
          </w:p>
        </w:tc>
      </w:tr>
    </w:tbl>
    <w:p w:rsidR="00000000" w:rsidRPr="00D13F84" w:rsidP="00D13F84">
      <w:pPr>
        <w:pStyle w:val="NoPaddingFontSize1"/>
      </w:pPr>
    </w:p>
    <w:p w:rsidR="00000000" w:rsidRPr="00D13F84" w:rsidP="00D13F84">
      <w:pPr>
        <w:pStyle w:val="AllowPageBreak"/>
      </w:pPr>
    </w:p>
    <w:p w:rsidR="00000000" w:rsidRPr="00D13F84" w:rsidP="00D13F84">
      <w:pPr>
        <w:pStyle w:val="Heading1"/>
      </w:pPr>
      <w:bookmarkStart w:id="10" w:name="O_1005514"/>
      <w:bookmarkEnd w:id="10"/>
      <w:r w:rsidRPr="00D13F84">
        <w:t>Links</w:t>
      </w:r>
    </w:p>
    <w:p w:rsidR="00000000" w:rsidRPr="00D13F84" w:rsidP="002843C5">
      <w:pPr>
        <w:pStyle w:val="BodyText"/>
      </w:pPr>
      <w:r w:rsidRPr="00D13F8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A7F05">
        <w:rPr>
          <w:rStyle w:val="Hyperlink"/>
        </w:rPr>
        <w:t>https://vetnet.gov.au/Pages/TrainingDocs.aspx?q=229bace1-b7bc-4653-9300-dffb13ecfad7</w:t>
      </w:r>
      <w:r>
        <w:fldChar w:fldCharType="end"/>
      </w:r>
    </w:p>
    <w:p w:rsidR="00000000" w:rsidRPr="00D13F84" w:rsidP="00D13F84"/>
    <w:sectPr w:rsidSect="00D13F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F84" w:rsidRPr="002843C5" w:rsidP="002843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3C5" w:rsidP="00D13F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43C5" w:rsidP="00D13F8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843C5" w:rsidP="00D13F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3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3F84" w:rsidRPr="002843C5" w:rsidP="002843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3C5" w:rsidRPr="002D2AF8" w:rsidP="00D13F84">
    <w:pPr>
      <w:pStyle w:val="Header"/>
      <w:framePr w:wrap="around"/>
    </w:pPr>
    <w:r>
      <w:fldChar w:fldCharType="begin"/>
    </w:r>
    <w:r>
      <w:instrText xml:space="preserve"> TITLE   \* MERGEFORMAT </w:instrText>
    </w:r>
    <w:r>
      <w:fldChar w:fldCharType="separate"/>
    </w:r>
    <w:r>
      <w:t>UETTDRTS24 Design testing and commissioning procedures for field devices and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2843C5" w:rsidP="00D13F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F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F84"/>
    <w:pPr>
      <w:spacing w:before="360" w:after="60"/>
      <w:outlineLvl w:val="0"/>
    </w:pPr>
    <w:rPr>
      <w:sz w:val="32"/>
    </w:rPr>
  </w:style>
  <w:style w:type="paragraph" w:styleId="Heading2">
    <w:name w:val="heading 2"/>
    <w:basedOn w:val="HeadingBase"/>
    <w:next w:val="BodyText"/>
    <w:link w:val="Heading2Char"/>
    <w:qFormat/>
    <w:rsid w:val="00D13F84"/>
    <w:pPr>
      <w:keepLines/>
      <w:spacing w:before="240" w:after="120"/>
      <w:outlineLvl w:val="1"/>
    </w:pPr>
    <w:rPr>
      <w:sz w:val="28"/>
      <w:szCs w:val="40"/>
    </w:rPr>
  </w:style>
  <w:style w:type="paragraph" w:styleId="Heading3">
    <w:name w:val="heading 3"/>
    <w:basedOn w:val="HeadingBase"/>
    <w:next w:val="BodyText"/>
    <w:link w:val="Heading3Char"/>
    <w:qFormat/>
    <w:rsid w:val="00D13F84"/>
    <w:pPr>
      <w:spacing w:before="180" w:after="120"/>
      <w:outlineLvl w:val="2"/>
    </w:pPr>
    <w:rPr>
      <w:spacing w:val="-10"/>
      <w:kern w:val="32"/>
    </w:rPr>
  </w:style>
  <w:style w:type="paragraph" w:styleId="Heading4">
    <w:name w:val="heading 4"/>
    <w:basedOn w:val="HeadingBase"/>
    <w:next w:val="BodyText"/>
    <w:link w:val="Heading4Char"/>
    <w:qFormat/>
    <w:rsid w:val="00D13F84"/>
    <w:pPr>
      <w:spacing w:before="160" w:after="120"/>
      <w:outlineLvl w:val="3"/>
    </w:pPr>
    <w:rPr>
      <w:sz w:val="22"/>
    </w:rPr>
  </w:style>
  <w:style w:type="paragraph" w:styleId="Heading5">
    <w:name w:val="heading 5"/>
    <w:basedOn w:val="HeadingBase"/>
    <w:next w:val="Normal"/>
    <w:link w:val="Heading5Char"/>
    <w:qFormat/>
    <w:rsid w:val="00D13F84"/>
    <w:pPr>
      <w:spacing w:before="80"/>
      <w:outlineLvl w:val="4"/>
    </w:pPr>
    <w:rPr>
      <w:color w:val="918585"/>
      <w:sz w:val="20"/>
    </w:rPr>
  </w:style>
  <w:style w:type="paragraph" w:styleId="Heading6">
    <w:name w:val="heading 6"/>
    <w:basedOn w:val="HeadingBase"/>
    <w:next w:val="Normal"/>
    <w:link w:val="Heading6Char"/>
    <w:qFormat/>
    <w:rsid w:val="00D13F84"/>
    <w:pPr>
      <w:spacing w:before="60"/>
      <w:outlineLvl w:val="5"/>
    </w:pPr>
    <w:rPr>
      <w:color w:val="918585"/>
      <w:sz w:val="20"/>
    </w:rPr>
  </w:style>
  <w:style w:type="paragraph" w:styleId="Heading7">
    <w:name w:val="heading 7"/>
    <w:basedOn w:val="Normal"/>
    <w:next w:val="Normal"/>
    <w:link w:val="Heading7Char"/>
    <w:qFormat/>
    <w:rsid w:val="00D13F84"/>
    <w:pPr>
      <w:ind w:left="720"/>
      <w:outlineLvl w:val="6"/>
    </w:pPr>
    <w:rPr>
      <w:i/>
    </w:rPr>
  </w:style>
  <w:style w:type="paragraph" w:styleId="Heading8">
    <w:name w:val="heading 8"/>
    <w:basedOn w:val="Normal"/>
    <w:next w:val="Normal"/>
    <w:link w:val="Heading8Char"/>
    <w:qFormat/>
    <w:rsid w:val="00D13F84"/>
    <w:pPr>
      <w:ind w:left="720"/>
      <w:outlineLvl w:val="7"/>
    </w:pPr>
    <w:rPr>
      <w:i/>
    </w:rPr>
  </w:style>
  <w:style w:type="paragraph" w:styleId="Heading9">
    <w:name w:val="heading 9"/>
    <w:basedOn w:val="Normal"/>
    <w:next w:val="Normal"/>
    <w:link w:val="Heading9Char"/>
    <w:qFormat/>
    <w:rsid w:val="00D13F84"/>
    <w:pPr>
      <w:ind w:left="720"/>
      <w:outlineLvl w:val="8"/>
    </w:pPr>
    <w:rPr>
      <w:i/>
    </w:rPr>
  </w:style>
  <w:style w:type="character" w:default="1" w:styleId="DefaultParagraphFont">
    <w:name w:val="Default Paragraph Font"/>
    <w:uiPriority w:val="1"/>
    <w:unhideWhenUsed/>
    <w:rsid w:val="00D13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F84"/>
  </w:style>
  <w:style w:type="character" w:customStyle="1" w:styleId="Heading1Char">
    <w:name w:val="Heading 1 Char"/>
    <w:basedOn w:val="DefaultParagraphFont"/>
    <w:link w:val="Heading1"/>
    <w:rsid w:val="00D13F84"/>
    <w:rPr>
      <w:rFonts w:ascii="Times New Roman" w:eastAsia="Times New Roman" w:hAnsi="Times New Roman" w:cs="Times New Roman"/>
      <w:b/>
      <w:sz w:val="32"/>
      <w:szCs w:val="20"/>
      <w:lang w:eastAsia="en-US"/>
    </w:rPr>
  </w:style>
  <w:style w:type="paragraph" w:styleId="BodyText">
    <w:name w:val="Body Text"/>
    <w:basedOn w:val="Normal"/>
    <w:link w:val="BodyTextChar"/>
    <w:rsid w:val="00D13F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3F84"/>
    <w:rPr>
      <w:rFonts w:ascii="Times New Roman" w:eastAsia="Times New Roman" w:hAnsi="Times New Roman" w:cs="Times New Roman"/>
      <w:sz w:val="24"/>
      <w:lang w:eastAsia="en-US"/>
    </w:rPr>
  </w:style>
  <w:style w:type="character" w:customStyle="1" w:styleId="SpecialBold">
    <w:name w:val="Special Bold"/>
    <w:basedOn w:val="DefaultParagraphFont"/>
    <w:rsid w:val="00D13F84"/>
    <w:rPr>
      <w:b/>
      <w:spacing w:val="0"/>
    </w:rPr>
  </w:style>
  <w:style w:type="paragraph" w:customStyle="1" w:styleId="SuperHeading">
    <w:name w:val="SuperHeading"/>
    <w:basedOn w:val="Normal"/>
    <w:rsid w:val="00D13F84"/>
    <w:pPr>
      <w:spacing w:before="240" w:after="120"/>
      <w:outlineLvl w:val="0"/>
    </w:pPr>
    <w:rPr>
      <w:rFonts w:ascii="Times New Roman" w:hAnsi="Times New Roman"/>
      <w:b/>
      <w:sz w:val="32"/>
    </w:rPr>
  </w:style>
  <w:style w:type="paragraph" w:customStyle="1" w:styleId="AllowPageBreak">
    <w:name w:val="AllowPageBreak"/>
    <w:rsid w:val="00D13F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3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F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F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F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F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F84"/>
    <w:rPr>
      <w:rFonts w:ascii="Courier New" w:eastAsia="Times New Roman" w:hAnsi="Courier New" w:cs="Times New Roman"/>
      <w:i/>
      <w:szCs w:val="20"/>
      <w:lang w:eastAsia="en-US"/>
    </w:rPr>
  </w:style>
  <w:style w:type="paragraph" w:customStyle="1" w:styleId="HeadingBase">
    <w:name w:val="Heading Base"/>
    <w:rsid w:val="00D13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F84"/>
    <w:pPr>
      <w:tabs>
        <w:tab w:val="right" w:leader="dot" w:pos="9072"/>
      </w:tabs>
      <w:ind w:left="567"/>
    </w:pPr>
    <w:rPr>
      <w:szCs w:val="22"/>
    </w:rPr>
  </w:style>
  <w:style w:type="paragraph" w:customStyle="1" w:styleId="TOCBase">
    <w:name w:val="TOC Base"/>
    <w:rsid w:val="00D13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F84"/>
    <w:pPr>
      <w:tabs>
        <w:tab w:val="right" w:leader="dot" w:pos="9072"/>
      </w:tabs>
      <w:spacing w:before="40" w:after="40"/>
      <w:ind w:left="284"/>
    </w:pPr>
    <w:rPr>
      <w:rFonts w:ascii="Times New Roman" w:hAnsi="Times New Roman"/>
    </w:rPr>
  </w:style>
  <w:style w:type="paragraph" w:styleId="TOC1">
    <w:name w:val="toc 1"/>
    <w:basedOn w:val="TOCBase"/>
    <w:next w:val="Normal"/>
    <w:rsid w:val="00D13F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F84"/>
    <w:rPr>
      <w:rFonts w:ascii="Times New Roman" w:eastAsia="Times New Roman" w:hAnsi="Times New Roman" w:cs="Times New Roman"/>
      <w:sz w:val="16"/>
      <w:lang w:eastAsia="en-US"/>
    </w:rPr>
  </w:style>
  <w:style w:type="paragraph" w:styleId="Title">
    <w:name w:val="Title"/>
    <w:basedOn w:val="HeadingBase"/>
    <w:link w:val="TitleChar"/>
    <w:qFormat/>
    <w:rsid w:val="00D13F84"/>
    <w:pPr>
      <w:spacing w:before="5040"/>
      <w:jc w:val="center"/>
    </w:pPr>
    <w:rPr>
      <w:sz w:val="48"/>
      <w:szCs w:val="72"/>
      <w:lang w:val="en-US"/>
    </w:rPr>
  </w:style>
  <w:style w:type="character" w:customStyle="1" w:styleId="TitleChar">
    <w:name w:val="Title Char"/>
    <w:basedOn w:val="DefaultParagraphFont"/>
    <w:link w:val="Title"/>
    <w:rsid w:val="00D13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F84"/>
    <w:pPr>
      <w:tabs>
        <w:tab w:val="left" w:pos="3600"/>
        <w:tab w:val="left" w:pos="3958"/>
      </w:tabs>
    </w:pPr>
  </w:style>
  <w:style w:type="paragraph" w:styleId="List">
    <w:name w:val="List"/>
    <w:basedOn w:val="BodyText"/>
    <w:next w:val="BodyText"/>
    <w:rsid w:val="00D13F84"/>
    <w:pPr>
      <w:tabs>
        <w:tab w:val="left" w:pos="340"/>
      </w:tabs>
      <w:spacing w:before="60" w:after="60"/>
      <w:ind w:left="340" w:hanging="340"/>
    </w:pPr>
  </w:style>
  <w:style w:type="paragraph" w:styleId="ListBullet">
    <w:name w:val="List Bullet"/>
    <w:basedOn w:val="List"/>
    <w:rsid w:val="00D13F84"/>
    <w:pPr>
      <w:numPr>
        <w:numId w:val="10"/>
      </w:numPr>
      <w:tabs>
        <w:tab w:val="clear" w:pos="340"/>
      </w:tabs>
      <w:spacing w:before="40" w:after="40"/>
    </w:pPr>
  </w:style>
  <w:style w:type="paragraph" w:customStyle="1" w:styleId="Note">
    <w:name w:val="Note"/>
    <w:basedOn w:val="BodyText"/>
    <w:rsid w:val="00D13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F84"/>
    <w:pPr>
      <w:framePr w:wrap="auto" w:hAnchor="text" w:y="6049"/>
    </w:pPr>
    <w:rPr>
      <w:color w:val="000000"/>
      <w:sz w:val="40"/>
    </w:rPr>
  </w:style>
  <w:style w:type="paragraph" w:customStyle="1" w:styleId="TOCTitle">
    <w:name w:val="TOCTitle"/>
    <w:basedOn w:val="Heading1"/>
    <w:rsid w:val="00D13F84"/>
    <w:pPr>
      <w:spacing w:after="240"/>
      <w:jc w:val="center"/>
      <w:outlineLvl w:val="9"/>
    </w:pPr>
    <w:rPr>
      <w:caps/>
    </w:rPr>
  </w:style>
  <w:style w:type="paragraph" w:customStyle="1" w:styleId="Version">
    <w:name w:val="Version"/>
    <w:rsid w:val="00D13F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F84"/>
    <w:pPr>
      <w:numPr>
        <w:numId w:val="11"/>
      </w:numPr>
      <w:tabs>
        <w:tab w:val="clear" w:pos="680"/>
      </w:tabs>
    </w:pPr>
  </w:style>
  <w:style w:type="paragraph" w:styleId="Index1">
    <w:name w:val="index 1"/>
    <w:basedOn w:val="Normal"/>
    <w:next w:val="Normal"/>
    <w:semiHidden/>
    <w:rsid w:val="00D13F84"/>
    <w:pPr>
      <w:keepNext w:val="0"/>
      <w:tabs>
        <w:tab w:val="right" w:pos="4176"/>
      </w:tabs>
      <w:ind w:left="198" w:hanging="198"/>
    </w:pPr>
    <w:rPr>
      <w:rFonts w:ascii="Garamond" w:hAnsi="Garamond"/>
    </w:rPr>
  </w:style>
  <w:style w:type="paragraph" w:styleId="IndexHeading">
    <w:name w:val="index heading"/>
    <w:basedOn w:val="Normal"/>
    <w:next w:val="Index1"/>
    <w:semiHidden/>
    <w:rsid w:val="00D13F84"/>
    <w:pPr>
      <w:spacing w:before="120" w:after="120"/>
    </w:pPr>
    <w:rPr>
      <w:rFonts w:ascii="Arial" w:hAnsi="Arial"/>
      <w:b/>
      <w:color w:val="918585"/>
      <w:sz w:val="24"/>
    </w:rPr>
  </w:style>
  <w:style w:type="paragraph" w:styleId="Header">
    <w:name w:val="header"/>
    <w:basedOn w:val="Normal"/>
    <w:link w:val="HeaderChar"/>
    <w:rsid w:val="00D13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F84"/>
    <w:rPr>
      <w:rFonts w:ascii="Times New Roman" w:eastAsia="Times New Roman" w:hAnsi="Times New Roman" w:cs="Times New Roman"/>
      <w:sz w:val="16"/>
      <w:szCs w:val="20"/>
      <w:lang w:val="en-GB" w:eastAsia="en-US"/>
    </w:rPr>
  </w:style>
  <w:style w:type="paragraph" w:customStyle="1" w:styleId="Chapter">
    <w:name w:val="Chapter"/>
    <w:basedOn w:val="Normal"/>
    <w:rsid w:val="00D13F84"/>
    <w:pPr>
      <w:spacing w:before="240"/>
    </w:pPr>
    <w:rPr>
      <w:rFonts w:ascii="Times New Roman" w:hAnsi="Times New Roman"/>
      <w:smallCaps/>
      <w:spacing w:val="80"/>
      <w:sz w:val="28"/>
    </w:rPr>
  </w:style>
  <w:style w:type="paragraph" w:customStyle="1" w:styleId="InChapter">
    <w:name w:val="InChapter"/>
    <w:basedOn w:val="Heading3"/>
    <w:rsid w:val="00D13F84"/>
    <w:pPr>
      <w:spacing w:after="240"/>
      <w:outlineLvl w:val="9"/>
    </w:pPr>
    <w:rPr>
      <w:noProof/>
    </w:rPr>
  </w:style>
  <w:style w:type="paragraph" w:styleId="Index2">
    <w:name w:val="index 2"/>
    <w:basedOn w:val="Normal"/>
    <w:next w:val="Normal"/>
    <w:semiHidden/>
    <w:rsid w:val="00D13F84"/>
    <w:pPr>
      <w:tabs>
        <w:tab w:val="right" w:pos="4176"/>
      </w:tabs>
      <w:ind w:left="568" w:hanging="284"/>
    </w:pPr>
    <w:rPr>
      <w:rFonts w:ascii="Garamond" w:hAnsi="Garamond"/>
    </w:rPr>
  </w:style>
  <w:style w:type="paragraph" w:customStyle="1" w:styleId="Byline">
    <w:name w:val="Byline"/>
    <w:rsid w:val="00D13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F84"/>
    <w:pPr>
      <w:tabs>
        <w:tab w:val="clear" w:pos="3600"/>
        <w:tab w:val="clear" w:pos="3958"/>
      </w:tabs>
      <w:jc w:val="right"/>
    </w:pPr>
  </w:style>
  <w:style w:type="character" w:styleId="Emphasis">
    <w:name w:val="Emphasis"/>
    <w:basedOn w:val="DefaultParagraphFont"/>
    <w:qFormat/>
    <w:rsid w:val="00D13F84"/>
    <w:rPr>
      <w:i/>
    </w:rPr>
  </w:style>
  <w:style w:type="paragraph" w:styleId="Caption">
    <w:name w:val="caption"/>
    <w:basedOn w:val="BodyText"/>
    <w:next w:val="Normal"/>
    <w:qFormat/>
    <w:rsid w:val="00D13F84"/>
    <w:pPr>
      <w:framePr w:w="2268" w:hSpace="181" w:vSpace="181" w:wrap="around" w:vAnchor="text" w:hAnchor="page" w:x="1135" w:y="285" w:anchorLock="1"/>
    </w:pPr>
    <w:rPr>
      <w:i/>
    </w:rPr>
  </w:style>
  <w:style w:type="paragraph" w:customStyle="1" w:styleId="MiniTOCTitle">
    <w:name w:val="MiniTOCTitle"/>
    <w:basedOn w:val="Heading4"/>
    <w:rsid w:val="00D13F84"/>
    <w:pPr>
      <w:spacing w:before="240"/>
      <w:outlineLvl w:val="9"/>
    </w:pPr>
    <w:rPr>
      <w:noProof/>
      <w:sz w:val="24"/>
    </w:rPr>
  </w:style>
  <w:style w:type="paragraph" w:customStyle="1" w:styleId="MiniTOCItem">
    <w:name w:val="MiniTOCItem"/>
    <w:basedOn w:val="ListBullet"/>
    <w:rsid w:val="00D13F84"/>
    <w:pPr>
      <w:numPr>
        <w:numId w:val="0"/>
      </w:numPr>
      <w:tabs>
        <w:tab w:val="right" w:leader="dot" w:pos="6521"/>
      </w:tabs>
      <w:spacing w:before="0" w:after="0"/>
    </w:pPr>
  </w:style>
  <w:style w:type="paragraph" w:customStyle="1" w:styleId="TOFTitle">
    <w:name w:val="TOFTitle"/>
    <w:basedOn w:val="TOCTitle"/>
    <w:rsid w:val="00D13F84"/>
  </w:style>
  <w:style w:type="paragraph" w:styleId="TableofFigures">
    <w:name w:val="table of figures"/>
    <w:basedOn w:val="Normal"/>
    <w:next w:val="Normal"/>
    <w:semiHidden/>
    <w:rsid w:val="00D13F84"/>
    <w:pPr>
      <w:tabs>
        <w:tab w:val="right" w:leader="dot" w:pos="9072"/>
      </w:tabs>
      <w:ind w:left="970" w:hanging="403"/>
    </w:pPr>
    <w:rPr>
      <w:rFonts w:ascii="Times New Roman" w:hAnsi="Times New Roman"/>
      <w:b/>
    </w:rPr>
  </w:style>
  <w:style w:type="paragraph" w:styleId="ListNumber">
    <w:name w:val="List Number"/>
    <w:basedOn w:val="List"/>
    <w:rsid w:val="00D13F84"/>
    <w:pPr>
      <w:numPr>
        <w:numId w:val="13"/>
      </w:numPr>
      <w:tabs>
        <w:tab w:val="clear" w:pos="340"/>
      </w:tabs>
    </w:pPr>
  </w:style>
  <w:style w:type="character" w:customStyle="1" w:styleId="WingdingSymbols">
    <w:name w:val="Wingding Symbols"/>
    <w:rsid w:val="00D13F84"/>
    <w:rPr>
      <w:rFonts w:ascii="Wingdings" w:hAnsi="Wingdings"/>
    </w:rPr>
  </w:style>
  <w:style w:type="paragraph" w:customStyle="1" w:styleId="TableHeading">
    <w:name w:val="Table Heading"/>
    <w:basedOn w:val="HeadingBase"/>
    <w:rsid w:val="00D13F84"/>
    <w:pPr>
      <w:keepLines/>
      <w:pBdr>
        <w:bottom w:val="single" w:sz="6" w:space="1" w:color="918585"/>
      </w:pBdr>
      <w:spacing w:before="240"/>
    </w:pPr>
  </w:style>
  <w:style w:type="character" w:customStyle="1" w:styleId="HotSpot">
    <w:name w:val="HotSpot"/>
    <w:rsid w:val="00D13F84"/>
    <w:rPr>
      <w:color w:val="0033CC"/>
      <w:u w:val="none"/>
    </w:rPr>
  </w:style>
  <w:style w:type="paragraph" w:customStyle="1" w:styleId="BodyTextRight">
    <w:name w:val="Body Text Right"/>
    <w:basedOn w:val="BodyText"/>
    <w:rsid w:val="00D13F84"/>
    <w:pPr>
      <w:spacing w:before="0" w:after="0"/>
      <w:jc w:val="right"/>
    </w:pPr>
  </w:style>
  <w:style w:type="paragraph" w:styleId="Index3">
    <w:name w:val="index 3"/>
    <w:basedOn w:val="ListNumber2"/>
    <w:next w:val="Normal"/>
    <w:semiHidden/>
    <w:rsid w:val="00D13F84"/>
    <w:pPr>
      <w:numPr>
        <w:numId w:val="0"/>
      </w:numPr>
      <w:tabs>
        <w:tab w:val="right" w:leader="dot" w:pos="4176"/>
      </w:tabs>
    </w:pPr>
  </w:style>
  <w:style w:type="paragraph" w:styleId="ListNumber2">
    <w:name w:val="List Number 2"/>
    <w:basedOn w:val="List2"/>
    <w:rsid w:val="00D13F84"/>
    <w:pPr>
      <w:numPr>
        <w:numId w:val="8"/>
      </w:numPr>
      <w:tabs>
        <w:tab w:val="clear" w:pos="1060"/>
      </w:tabs>
    </w:pPr>
  </w:style>
  <w:style w:type="paragraph" w:customStyle="1" w:styleId="MarginNote">
    <w:name w:val="Margin Note"/>
    <w:basedOn w:val="BodyText"/>
    <w:rsid w:val="00D13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F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F84"/>
    <w:rPr>
      <w:sz w:val="32"/>
    </w:rPr>
  </w:style>
  <w:style w:type="paragraph" w:customStyle="1" w:styleId="HeadingProcedure">
    <w:name w:val="Heading Procedure"/>
    <w:basedOn w:val="HeadingBase"/>
    <w:next w:val="Normal"/>
    <w:rsid w:val="00D13F84"/>
    <w:pPr>
      <w:tabs>
        <w:tab w:val="left" w:pos="0"/>
      </w:tabs>
      <w:spacing w:before="120" w:after="60"/>
    </w:pPr>
    <w:rPr>
      <w:i/>
      <w:color w:val="918585"/>
      <w:sz w:val="22"/>
    </w:rPr>
  </w:style>
  <w:style w:type="paragraph" w:customStyle="1" w:styleId="TableBodyText">
    <w:name w:val="Table Body Text"/>
    <w:basedOn w:val="BodyText"/>
    <w:rsid w:val="00D13F84"/>
    <w:pPr>
      <w:spacing w:before="60" w:after="60"/>
    </w:pPr>
  </w:style>
  <w:style w:type="paragraph" w:styleId="ListContinue">
    <w:name w:val="List Continue"/>
    <w:basedOn w:val="List"/>
    <w:rsid w:val="00D13F84"/>
    <w:pPr>
      <w:ind w:firstLine="0"/>
    </w:pPr>
  </w:style>
  <w:style w:type="paragraph" w:customStyle="1" w:styleId="ListNote">
    <w:name w:val="List Note"/>
    <w:basedOn w:val="List"/>
    <w:rsid w:val="00D13F84"/>
    <w:pPr>
      <w:pBdr>
        <w:top w:val="single" w:sz="6" w:space="2" w:color="918585"/>
        <w:bottom w:val="single" w:sz="6" w:space="2" w:color="918585"/>
      </w:pBdr>
      <w:tabs>
        <w:tab w:val="left" w:pos="1021"/>
      </w:tabs>
      <w:ind w:firstLine="0"/>
    </w:pPr>
  </w:style>
  <w:style w:type="paragraph" w:customStyle="1" w:styleId="Warning">
    <w:name w:val="Warning"/>
    <w:basedOn w:val="BodyText"/>
    <w:rsid w:val="00D13F84"/>
    <w:pPr>
      <w:shd w:val="clear" w:color="auto" w:fill="D9D9D9"/>
      <w:tabs>
        <w:tab w:val="left" w:pos="992"/>
      </w:tabs>
      <w:ind w:left="119" w:right="119"/>
    </w:pPr>
    <w:rPr>
      <w:sz w:val="20"/>
    </w:rPr>
  </w:style>
  <w:style w:type="paragraph" w:customStyle="1" w:styleId="MarginIcons">
    <w:name w:val="Margin Icons"/>
    <w:basedOn w:val="BodyText"/>
    <w:rsid w:val="00D13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F84"/>
    <w:rPr>
      <w:rFonts w:ascii="Courier New" w:hAnsi="Courier New"/>
    </w:rPr>
  </w:style>
  <w:style w:type="paragraph" w:customStyle="1" w:styleId="NoteBullet">
    <w:name w:val="Note Bullet"/>
    <w:basedOn w:val="Note"/>
    <w:rsid w:val="00D13F84"/>
    <w:pPr>
      <w:tabs>
        <w:tab w:val="clear" w:pos="680"/>
      </w:tabs>
      <w:spacing w:before="60" w:after="60"/>
    </w:pPr>
  </w:style>
  <w:style w:type="paragraph" w:customStyle="1" w:styleId="SubHeading2">
    <w:name w:val="SubHeading2"/>
    <w:basedOn w:val="HeadingBase"/>
    <w:rsid w:val="00D13F84"/>
    <w:pPr>
      <w:spacing w:before="240" w:after="60"/>
    </w:pPr>
    <w:rPr>
      <w:sz w:val="20"/>
    </w:rPr>
  </w:style>
  <w:style w:type="paragraph" w:customStyle="1" w:styleId="SubHeading1">
    <w:name w:val="SubHeading1"/>
    <w:basedOn w:val="HeadingBase"/>
    <w:rsid w:val="00D13F84"/>
    <w:pPr>
      <w:spacing w:before="240" w:after="60"/>
    </w:pPr>
    <w:rPr>
      <w:color w:val="918585"/>
      <w:sz w:val="22"/>
    </w:rPr>
  </w:style>
  <w:style w:type="paragraph" w:customStyle="1" w:styleId="SideHeading">
    <w:name w:val="Side Heading"/>
    <w:basedOn w:val="HeadingBase"/>
    <w:rsid w:val="00D13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F84"/>
    <w:pPr>
      <w:numPr>
        <w:numId w:val="9"/>
      </w:numPr>
    </w:pPr>
  </w:style>
  <w:style w:type="paragraph" w:styleId="PlainText">
    <w:name w:val="Plain Text"/>
    <w:basedOn w:val="Normal"/>
    <w:link w:val="PlainTextChar"/>
    <w:rsid w:val="00D13F84"/>
    <w:rPr>
      <w:sz w:val="20"/>
    </w:rPr>
  </w:style>
  <w:style w:type="character" w:customStyle="1" w:styleId="PlainTextChar">
    <w:name w:val="Plain Text Char"/>
    <w:basedOn w:val="DefaultParagraphFont"/>
    <w:link w:val="PlainText"/>
    <w:rsid w:val="00D13F84"/>
    <w:rPr>
      <w:rFonts w:ascii="Courier New" w:eastAsia="Times New Roman" w:hAnsi="Courier New" w:cs="Times New Roman"/>
      <w:sz w:val="20"/>
      <w:szCs w:val="20"/>
      <w:lang w:eastAsia="en-US"/>
    </w:rPr>
  </w:style>
  <w:style w:type="character" w:customStyle="1" w:styleId="MenuOption">
    <w:name w:val="Menu Option"/>
    <w:basedOn w:val="DefaultParagraphFont"/>
    <w:rsid w:val="00D13F84"/>
    <w:rPr>
      <w:b/>
      <w:smallCaps/>
    </w:rPr>
  </w:style>
  <w:style w:type="paragraph" w:customStyle="1" w:styleId="TableListNumber">
    <w:name w:val="Table List Number"/>
    <w:basedOn w:val="ListNumber"/>
    <w:rsid w:val="00D13F84"/>
    <w:pPr>
      <w:numPr>
        <w:numId w:val="0"/>
      </w:numPr>
    </w:pPr>
  </w:style>
  <w:style w:type="paragraph" w:styleId="TOC4">
    <w:name w:val="toc 4"/>
    <w:basedOn w:val="TOCBase"/>
    <w:next w:val="Normal"/>
    <w:semiHidden/>
    <w:rsid w:val="00D13F84"/>
    <w:pPr>
      <w:tabs>
        <w:tab w:val="right" w:leader="dot" w:pos="9071"/>
      </w:tabs>
      <w:ind w:left="1701"/>
    </w:pPr>
  </w:style>
  <w:style w:type="paragraph" w:customStyle="1" w:styleId="ListAlpha">
    <w:name w:val="List Alpha"/>
    <w:basedOn w:val="List"/>
    <w:rsid w:val="00D13F84"/>
    <w:pPr>
      <w:numPr>
        <w:numId w:val="7"/>
      </w:numPr>
    </w:pPr>
  </w:style>
  <w:style w:type="paragraph" w:customStyle="1" w:styleId="ListAlpha2">
    <w:name w:val="List Alpha 2"/>
    <w:basedOn w:val="List2"/>
    <w:rsid w:val="00D13F84"/>
    <w:pPr>
      <w:numPr>
        <w:numId w:val="6"/>
      </w:numPr>
    </w:pPr>
  </w:style>
  <w:style w:type="paragraph" w:styleId="List2">
    <w:name w:val="List 2"/>
    <w:basedOn w:val="BodyText"/>
    <w:rsid w:val="00D13F84"/>
    <w:pPr>
      <w:tabs>
        <w:tab w:val="left" w:pos="680"/>
      </w:tabs>
      <w:spacing w:before="60" w:after="60"/>
      <w:ind w:left="680" w:hanging="340"/>
    </w:pPr>
  </w:style>
  <w:style w:type="paragraph" w:styleId="List3">
    <w:name w:val="List 3"/>
    <w:basedOn w:val="BodyText"/>
    <w:rsid w:val="00D13F84"/>
    <w:pPr>
      <w:tabs>
        <w:tab w:val="left" w:pos="1021"/>
      </w:tabs>
      <w:spacing w:before="60" w:after="60"/>
      <w:ind w:left="1020" w:hanging="340"/>
    </w:pPr>
  </w:style>
  <w:style w:type="paragraph" w:styleId="List4">
    <w:name w:val="List 4"/>
    <w:basedOn w:val="BodyText"/>
    <w:rsid w:val="00D13F84"/>
    <w:pPr>
      <w:tabs>
        <w:tab w:val="left" w:pos="1361"/>
      </w:tabs>
      <w:spacing w:before="60" w:after="60"/>
      <w:ind w:left="1361" w:hanging="340"/>
    </w:pPr>
  </w:style>
  <w:style w:type="paragraph" w:styleId="List5">
    <w:name w:val="List 5"/>
    <w:basedOn w:val="BodyText"/>
    <w:rsid w:val="00D13F84"/>
    <w:pPr>
      <w:tabs>
        <w:tab w:val="left" w:pos="1701"/>
      </w:tabs>
      <w:spacing w:before="60" w:after="60"/>
      <w:ind w:left="1701" w:hanging="340"/>
    </w:pPr>
  </w:style>
  <w:style w:type="paragraph" w:styleId="ListBullet3">
    <w:name w:val="List Bullet 3"/>
    <w:basedOn w:val="List3"/>
    <w:rsid w:val="00D13F84"/>
    <w:pPr>
      <w:numPr>
        <w:numId w:val="12"/>
      </w:numPr>
      <w:tabs>
        <w:tab w:val="clear" w:pos="1021"/>
      </w:tabs>
      <w:ind w:left="1037" w:hanging="357"/>
    </w:pPr>
  </w:style>
  <w:style w:type="paragraph" w:styleId="ListBullet4">
    <w:name w:val="List Bullet 4"/>
    <w:basedOn w:val="List4"/>
    <w:rsid w:val="00D13F84"/>
    <w:pPr>
      <w:numPr>
        <w:numId w:val="1"/>
      </w:numPr>
      <w:tabs>
        <w:tab w:val="clear" w:pos="1361"/>
      </w:tabs>
    </w:pPr>
  </w:style>
  <w:style w:type="paragraph" w:styleId="ListBullet5">
    <w:name w:val="List Bullet 5"/>
    <w:basedOn w:val="List5"/>
    <w:rsid w:val="00D13F84"/>
    <w:pPr>
      <w:numPr>
        <w:numId w:val="2"/>
      </w:numPr>
    </w:pPr>
  </w:style>
  <w:style w:type="paragraph" w:styleId="ListContinue2">
    <w:name w:val="List Continue 2"/>
    <w:basedOn w:val="List2"/>
    <w:rsid w:val="00D13F84"/>
    <w:pPr>
      <w:ind w:firstLine="0"/>
    </w:pPr>
  </w:style>
  <w:style w:type="paragraph" w:styleId="ListContinue3">
    <w:name w:val="List Continue 3"/>
    <w:basedOn w:val="List3"/>
    <w:rsid w:val="00D13F84"/>
    <w:pPr>
      <w:ind w:left="1021" w:firstLine="0"/>
    </w:pPr>
  </w:style>
  <w:style w:type="paragraph" w:styleId="ListContinue4">
    <w:name w:val="List Continue 4"/>
    <w:basedOn w:val="List4"/>
    <w:rsid w:val="00D13F84"/>
    <w:pPr>
      <w:ind w:firstLine="0"/>
    </w:pPr>
  </w:style>
  <w:style w:type="paragraph" w:styleId="ListContinue5">
    <w:name w:val="List Continue 5"/>
    <w:basedOn w:val="List5"/>
    <w:rsid w:val="00D13F84"/>
    <w:pPr>
      <w:ind w:firstLine="0"/>
    </w:pPr>
  </w:style>
  <w:style w:type="paragraph" w:styleId="ListNumber3">
    <w:name w:val="List Number 3"/>
    <w:basedOn w:val="List3"/>
    <w:rsid w:val="00D13F84"/>
    <w:pPr>
      <w:numPr>
        <w:numId w:val="3"/>
      </w:numPr>
    </w:pPr>
  </w:style>
  <w:style w:type="paragraph" w:styleId="ListNumber4">
    <w:name w:val="List Number 4"/>
    <w:basedOn w:val="List4"/>
    <w:rsid w:val="00D13F84"/>
    <w:pPr>
      <w:numPr>
        <w:numId w:val="4"/>
      </w:numPr>
    </w:pPr>
  </w:style>
  <w:style w:type="paragraph" w:styleId="ListNumber5">
    <w:name w:val="List Number 5"/>
    <w:basedOn w:val="List5"/>
    <w:rsid w:val="00D13F84"/>
    <w:pPr>
      <w:numPr>
        <w:numId w:val="5"/>
      </w:numPr>
    </w:pPr>
  </w:style>
  <w:style w:type="paragraph" w:styleId="BlockText">
    <w:name w:val="Block Text"/>
    <w:basedOn w:val="Normal"/>
    <w:rsid w:val="00D13F84"/>
    <w:pPr>
      <w:spacing w:after="120"/>
      <w:ind w:left="1440" w:right="1440"/>
    </w:pPr>
  </w:style>
  <w:style w:type="character" w:customStyle="1" w:styleId="Subscript">
    <w:name w:val="Subscript"/>
    <w:basedOn w:val="DefaultParagraphFont"/>
    <w:rsid w:val="00D13F84"/>
    <w:rPr>
      <w:sz w:val="16"/>
      <w:vertAlign w:val="subscript"/>
    </w:rPr>
  </w:style>
  <w:style w:type="character" w:customStyle="1" w:styleId="Superscript">
    <w:name w:val="Superscript"/>
    <w:basedOn w:val="DefaultParagraphFont"/>
    <w:rsid w:val="00D13F84"/>
    <w:rPr>
      <w:sz w:val="16"/>
      <w:vertAlign w:val="superscript"/>
    </w:rPr>
  </w:style>
  <w:style w:type="character" w:customStyle="1" w:styleId="Symbols">
    <w:name w:val="Symbols"/>
    <w:basedOn w:val="DefaultParagraphFont"/>
    <w:rsid w:val="00D13F84"/>
    <w:rPr>
      <w:rFonts w:ascii="Symbol" w:hAnsi="Symbol"/>
    </w:rPr>
  </w:style>
  <w:style w:type="character" w:customStyle="1" w:styleId="MenuOptions">
    <w:name w:val="Menu Options"/>
    <w:basedOn w:val="DefaultParagraphFont"/>
    <w:rsid w:val="00D13F84"/>
    <w:rPr>
      <w:rFonts w:ascii="Arial Narrow" w:hAnsi="Arial Narrow"/>
      <w:smallCaps/>
    </w:rPr>
  </w:style>
  <w:style w:type="character" w:customStyle="1" w:styleId="Buttons">
    <w:name w:val="Buttons"/>
    <w:basedOn w:val="DefaultParagraphFont"/>
    <w:rsid w:val="00D13F84"/>
    <w:rPr>
      <w:b/>
    </w:rPr>
  </w:style>
  <w:style w:type="character" w:customStyle="1" w:styleId="Underlined">
    <w:name w:val="Underlined"/>
    <w:basedOn w:val="DefaultParagraphFont"/>
    <w:rsid w:val="00D13F84"/>
    <w:rPr>
      <w:u w:val="single"/>
    </w:rPr>
  </w:style>
  <w:style w:type="paragraph" w:customStyle="1" w:styleId="TableBodyTextRight">
    <w:name w:val="Table Body Text Right"/>
    <w:basedOn w:val="TableBodyText"/>
    <w:rsid w:val="00D13F84"/>
    <w:pPr>
      <w:widowControl w:val="0"/>
      <w:autoSpaceDE w:val="0"/>
      <w:autoSpaceDN w:val="0"/>
      <w:adjustRightInd w:val="0"/>
      <w:jc w:val="right"/>
    </w:pPr>
    <w:rPr>
      <w:rFonts w:cs="Arial"/>
      <w:szCs w:val="18"/>
    </w:rPr>
  </w:style>
  <w:style w:type="paragraph" w:customStyle="1" w:styleId="CopyrightText">
    <w:name w:val="Copyright Text"/>
    <w:basedOn w:val="BodyText"/>
    <w:rsid w:val="00D13F84"/>
    <w:rPr>
      <w:sz w:val="18"/>
    </w:rPr>
  </w:style>
  <w:style w:type="paragraph" w:customStyle="1" w:styleId="BodySmallRight">
    <w:name w:val="Body Small Right"/>
    <w:basedOn w:val="BodyTextRight"/>
    <w:rsid w:val="00D13F84"/>
    <w:rPr>
      <w:sz w:val="18"/>
      <w:szCs w:val="18"/>
    </w:rPr>
  </w:style>
  <w:style w:type="paragraph" w:customStyle="1" w:styleId="MarginEdition">
    <w:name w:val="Margin Edition"/>
    <w:basedOn w:val="MarginNote"/>
    <w:rsid w:val="00D13F84"/>
    <w:pPr>
      <w:spacing w:before="0" w:after="0"/>
    </w:pPr>
    <w:rPr>
      <w:rFonts w:ascii="Times New Roman" w:hAnsi="Times New Roman"/>
      <w:color w:val="999999"/>
    </w:rPr>
  </w:style>
  <w:style w:type="paragraph" w:customStyle="1" w:styleId="Spacer">
    <w:name w:val="Spacer"/>
    <w:basedOn w:val="Normal"/>
    <w:rsid w:val="00D13F84"/>
    <w:rPr>
      <w:sz w:val="2"/>
      <w:szCs w:val="2"/>
    </w:rPr>
  </w:style>
  <w:style w:type="character" w:customStyle="1" w:styleId="Small">
    <w:name w:val="Small"/>
    <w:basedOn w:val="DefaultParagraphFont"/>
    <w:rsid w:val="00D13F84"/>
    <w:rPr>
      <w:sz w:val="16"/>
    </w:rPr>
  </w:style>
  <w:style w:type="paragraph" w:customStyle="1" w:styleId="WideTable">
    <w:name w:val="Wide Table"/>
    <w:basedOn w:val="Normal"/>
    <w:rsid w:val="00D13F84"/>
    <w:pPr>
      <w:ind w:left="-1418"/>
    </w:pPr>
    <w:rPr>
      <w:sz w:val="2"/>
      <w:szCs w:val="2"/>
    </w:rPr>
  </w:style>
  <w:style w:type="character" w:styleId="PageNumber">
    <w:name w:val="page number"/>
    <w:basedOn w:val="DefaultParagraphFont"/>
    <w:rsid w:val="00D13F84"/>
  </w:style>
  <w:style w:type="paragraph" w:styleId="Quote">
    <w:name w:val="Quote"/>
    <w:basedOn w:val="Heading1"/>
    <w:link w:val="QuoteChar"/>
    <w:qFormat/>
    <w:rsid w:val="00D13F84"/>
    <w:rPr>
      <w:b w:val="0"/>
      <w:sz w:val="72"/>
      <w:szCs w:val="72"/>
      <w:lang w:val="en-NZ"/>
    </w:rPr>
  </w:style>
  <w:style w:type="character" w:customStyle="1" w:styleId="QuoteChar">
    <w:name w:val="Quote Char"/>
    <w:basedOn w:val="DefaultParagraphFont"/>
    <w:link w:val="Quote"/>
    <w:rsid w:val="00D13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F84"/>
    <w:pPr>
      <w:pageBreakBefore/>
    </w:pPr>
  </w:style>
  <w:style w:type="paragraph" w:customStyle="1" w:styleId="Border">
    <w:name w:val="Border"/>
    <w:basedOn w:val="Normal"/>
    <w:qFormat/>
    <w:rsid w:val="00D13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F84"/>
    <w:rPr>
      <w:b/>
      <w:bCs/>
      <w:i/>
      <w:iCs/>
      <w:color w:val="auto"/>
    </w:rPr>
  </w:style>
  <w:style w:type="paragraph" w:styleId="IntenseQuote">
    <w:name w:val="Intense Quote"/>
    <w:basedOn w:val="Normal"/>
    <w:next w:val="Normal"/>
    <w:link w:val="IntenseQuoteChar"/>
    <w:uiPriority w:val="30"/>
    <w:qFormat/>
    <w:rsid w:val="00D13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F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F84"/>
    <w:rPr>
      <w:smallCaps/>
      <w:color w:val="auto"/>
      <w:u w:val="single"/>
    </w:rPr>
  </w:style>
  <w:style w:type="character" w:styleId="IntenseReference">
    <w:name w:val="Intense Reference"/>
    <w:basedOn w:val="DefaultParagraphFont"/>
    <w:uiPriority w:val="32"/>
    <w:qFormat/>
    <w:rsid w:val="00D13F84"/>
    <w:rPr>
      <w:b/>
      <w:bCs/>
      <w:smallCaps/>
      <w:color w:val="auto"/>
      <w:spacing w:val="5"/>
      <w:u w:val="single"/>
    </w:rPr>
  </w:style>
  <w:style w:type="paragraph" w:customStyle="1" w:styleId="2ColumnHeading">
    <w:name w:val="2Column Heading"/>
    <w:basedOn w:val="BodyText"/>
    <w:qFormat/>
    <w:rsid w:val="00D13F84"/>
    <w:pPr>
      <w:spacing w:after="60"/>
      <w:ind w:left="-2268"/>
    </w:pPr>
    <w:rPr>
      <w:b/>
    </w:rPr>
  </w:style>
  <w:style w:type="paragraph" w:customStyle="1" w:styleId="Heading1TOC">
    <w:name w:val="Heading1 TOC"/>
    <w:basedOn w:val="Normal"/>
    <w:qFormat/>
    <w:rsid w:val="00D13F84"/>
    <w:pPr>
      <w:spacing w:before="240" w:after="120"/>
    </w:pPr>
    <w:rPr>
      <w:rFonts w:ascii="Times New Roman" w:hAnsi="Times New Roman"/>
      <w:b/>
      <w:sz w:val="32"/>
    </w:rPr>
  </w:style>
  <w:style w:type="paragraph" w:customStyle="1" w:styleId="Heading2TOC">
    <w:name w:val="Heading2 TOC"/>
    <w:basedOn w:val="Normal"/>
    <w:qFormat/>
    <w:rsid w:val="00D13F84"/>
    <w:pPr>
      <w:spacing w:before="240" w:after="60"/>
    </w:pPr>
    <w:rPr>
      <w:rFonts w:ascii="Times New Roman" w:hAnsi="Times New Roman"/>
      <w:b/>
      <w:sz w:val="28"/>
    </w:rPr>
  </w:style>
  <w:style w:type="character" w:customStyle="1" w:styleId="Underline">
    <w:name w:val="Underline"/>
    <w:basedOn w:val="DefaultParagraphFont"/>
    <w:qFormat/>
    <w:rsid w:val="00D13F84"/>
    <w:rPr>
      <w:u w:val="single"/>
    </w:rPr>
  </w:style>
  <w:style w:type="character" w:customStyle="1" w:styleId="BoldandItalics">
    <w:name w:val="Bold and Italics"/>
    <w:qFormat/>
    <w:rsid w:val="00D13F84"/>
    <w:rPr>
      <w:b/>
      <w:i/>
      <w:u w:val="none"/>
    </w:rPr>
  </w:style>
  <w:style w:type="paragraph" w:styleId="BalloonText">
    <w:name w:val="Balloon Text"/>
    <w:basedOn w:val="Normal"/>
    <w:link w:val="BalloonTextChar"/>
    <w:rsid w:val="00D13F84"/>
    <w:rPr>
      <w:rFonts w:ascii="Tahoma" w:hAnsi="Tahoma" w:cs="Tahoma"/>
      <w:sz w:val="16"/>
      <w:szCs w:val="16"/>
    </w:rPr>
  </w:style>
  <w:style w:type="character" w:customStyle="1" w:styleId="BalloonTextChar">
    <w:name w:val="Balloon Text Char"/>
    <w:basedOn w:val="DefaultParagraphFont"/>
    <w:link w:val="BalloonText"/>
    <w:rsid w:val="00D13F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F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3F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F84"/>
    <w:rPr>
      <w:b/>
      <w:color w:val="660033"/>
      <w:spacing w:val="0"/>
    </w:rPr>
  </w:style>
  <w:style w:type="paragraph" w:customStyle="1" w:styleId="Nameditemlist">
    <w:name w:val="Named item list"/>
    <w:basedOn w:val="BodyText"/>
    <w:qFormat/>
    <w:rsid w:val="00D13F84"/>
    <w:pPr>
      <w:tabs>
        <w:tab w:val="left" w:pos="2835"/>
      </w:tabs>
      <w:ind w:left="2835" w:hanging="2835"/>
    </w:pPr>
  </w:style>
  <w:style w:type="paragraph" w:customStyle="1" w:styleId="BodyTextnopadding">
    <w:name w:val="Body Text no padding"/>
    <w:basedOn w:val="BodyText"/>
    <w:qFormat/>
    <w:rsid w:val="00D13F84"/>
    <w:pPr>
      <w:spacing w:before="0" w:after="0"/>
    </w:pPr>
  </w:style>
  <w:style w:type="paragraph" w:customStyle="1" w:styleId="BodyTextBold">
    <w:name w:val="Body Text Bold"/>
    <w:basedOn w:val="BodyText"/>
    <w:qFormat/>
    <w:rsid w:val="00D13F84"/>
    <w:rPr>
      <w:b/>
    </w:rPr>
  </w:style>
  <w:style w:type="character" w:styleId="Hyperlink">
    <w:name w:val="Hyperlink"/>
    <w:basedOn w:val="DefaultParagraphFont"/>
    <w:uiPriority w:val="99"/>
    <w:unhideWhenUsed/>
    <w:rsid w:val="002843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1221</Words>
  <Characters>8065</Characters>
  <Application>Microsoft Office Word</Application>
  <DocSecurity>0</DocSecurity>
  <Lines>288</Lines>
  <Paragraphs>138</Paragraphs>
  <ScaleCrop>false</ScaleCrop>
  <Company>Author-it Software Corporation Ltd.</Company>
  <LinksUpToDate>false</LinksUpToDate>
  <CharactersWithSpaces>9148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UETTDRTS24 Design testing and commissioning procedures for field devices and substations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2021-04-20T06:35:00Z</dcterms:created>
  <dcterms:modified xsi:type="dcterms:W3CDTF">2021-04-20T06:35:00Z</dcterms:modified>
</cp:coreProperties>
</file>