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2712" w:rsidP="007527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UETTDRTS22 Commission interdependent network protection and control systems</w:t>
      </w:r>
      <w:r>
        <w:fldChar w:fldCharType="end"/>
      </w:r>
    </w:p>
    <w:p w:rsidR="00752712" w:rsidP="00752712">
      <w:pPr>
        <w:pStyle w:val="Version"/>
        <w:sectPr w:rsidSect="002C3E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3EBF" w:rsidP="002C3EBF">
      <w:pPr>
        <w:pStyle w:val="SuperHeading"/>
      </w:pPr>
      <w:r w:rsidRPr="002C3EBF">
        <w:t>Assessment Requirements for UETTDRTS22 Commission interdependent network protection and control systems</w:t>
      </w:r>
    </w:p>
    <w:p w:rsidR="00000000" w:rsidRPr="002C3EBF" w:rsidP="002C3EBF">
      <w:pPr>
        <w:pStyle w:val="Heading1"/>
      </w:pPr>
      <w:bookmarkStart w:id="1" w:name="O_1005471"/>
      <w:bookmarkEnd w:id="1"/>
      <w:r w:rsidRPr="002C3E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3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BF" w:rsidP="002C3EBF">
            <w:pPr>
              <w:pStyle w:val="BodyText"/>
            </w:pPr>
            <w:r w:rsidRPr="002C3EBF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2C3EBF" w:rsidP="002C3EBF">
      <w:pPr>
        <w:pStyle w:val="NoPaddingFontSize1"/>
      </w:pPr>
    </w:p>
    <w:p w:rsidR="00000000" w:rsidRPr="002C3EBF" w:rsidP="002C3EBF">
      <w:pPr>
        <w:pStyle w:val="AllowPageBreak"/>
      </w:pPr>
    </w:p>
    <w:p w:rsidR="00000000" w:rsidRPr="002C3EBF" w:rsidP="002C3EBF">
      <w:pPr>
        <w:pStyle w:val="Heading1"/>
      </w:pPr>
      <w:bookmarkStart w:id="2" w:name="O_1005472"/>
      <w:bookmarkEnd w:id="2"/>
      <w:r w:rsidRPr="002C3EB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3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BF">
            <w:pPr>
              <w:pStyle w:val="BodyText"/>
              <w:rPr>
                <w:lang w:val="en-NZ"/>
              </w:rPr>
            </w:pPr>
            <w:r w:rsidRPr="002C3EBF">
              <w:t>Evidence required to demonstrate competence in this unit must be relevant to a</w:t>
            </w:r>
            <w:r w:rsidRPr="002C3EBF">
              <w:t xml:space="preserve">nd satisfy all of the requirements of the elements and performance criteria on at least two separate occasions and include:  </w:t>
            </w:r>
          </w:p>
        </w:tc>
      </w:tr>
      <w:tr w:rsidTr="002C3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BF" w:rsidP="002C3EBF">
            <w:pPr>
              <w:pStyle w:val="ListBullet"/>
            </w:pPr>
            <w:r w:rsidRPr="002C3EBF">
              <w:t>applying relevant work health and safety (WHS)/occupational health and safety (OHS) requirements, including the use of risk cont</w:t>
            </w:r>
            <w:r w:rsidRPr="002C3EBF">
              <w:t>rol measures</w:t>
            </w:r>
          </w:p>
          <w:p w:rsidR="00000000" w:rsidRPr="002C3EBF" w:rsidP="002C3EBF">
            <w:pPr>
              <w:pStyle w:val="ListBullet"/>
            </w:pPr>
            <w:r w:rsidRPr="002C3EBF">
              <w:t>applying sustainable energy principles and practices</w:t>
            </w:r>
          </w:p>
          <w:p w:rsidR="00000000" w:rsidRPr="002C3EBF" w:rsidP="002C3EBF">
            <w:pPr>
              <w:pStyle w:val="ListBullet"/>
            </w:pPr>
            <w:r w:rsidRPr="002C3EBF">
              <w:t>demonstrating commissioning of a protection and control system involving at least five (5) of the following:</w:t>
            </w:r>
          </w:p>
          <w:p w:rsidR="00000000" w:rsidRPr="002C3EBF" w:rsidP="002C3EBF">
            <w:pPr>
              <w:pStyle w:val="ListBullet2"/>
            </w:pPr>
            <w:r w:rsidRPr="002C3EBF">
              <w:t>circuit breaker fail protection</w:t>
            </w:r>
          </w:p>
          <w:p w:rsidR="00000000" w:rsidRPr="002C3EBF" w:rsidP="002C3EBF">
            <w:pPr>
              <w:pStyle w:val="ListBullet2"/>
            </w:pPr>
            <w:r w:rsidRPr="002C3EBF">
              <w:t>master controlled earth fault</w:t>
            </w:r>
          </w:p>
          <w:p w:rsidR="00000000" w:rsidRPr="002C3EBF" w:rsidP="002C3EBF">
            <w:pPr>
              <w:pStyle w:val="ListBullet2"/>
            </w:pPr>
            <w:r w:rsidRPr="002C3EBF">
              <w:t>inter-tripping</w:t>
            </w:r>
          </w:p>
          <w:p w:rsidR="00000000" w:rsidRPr="002C3EBF" w:rsidP="002C3EBF">
            <w:pPr>
              <w:pStyle w:val="ListBullet2"/>
            </w:pPr>
            <w:r w:rsidRPr="002C3EBF">
              <w:t>blocking</w:t>
            </w:r>
          </w:p>
          <w:p w:rsidR="00000000" w:rsidRPr="002C3EBF" w:rsidP="002C3EBF">
            <w:pPr>
              <w:pStyle w:val="ListBullet2"/>
            </w:pPr>
            <w:r w:rsidRPr="002C3EBF">
              <w:t>synchronising</w:t>
            </w:r>
          </w:p>
          <w:p w:rsidR="00000000" w:rsidRPr="002C3EBF" w:rsidP="002C3EBF">
            <w:pPr>
              <w:pStyle w:val="ListBullet2"/>
            </w:pPr>
            <w:r w:rsidRPr="002C3EBF">
              <w:t>pilot wire</w:t>
            </w:r>
          </w:p>
          <w:p w:rsidR="00000000" w:rsidRPr="002C3EBF" w:rsidP="002C3EBF">
            <w:pPr>
              <w:pStyle w:val="ListBullet2"/>
            </w:pPr>
            <w:r w:rsidRPr="002C3EBF">
              <w:t>phase comparison</w:t>
            </w:r>
          </w:p>
          <w:p w:rsidR="00000000" w:rsidRPr="002C3EBF" w:rsidP="002C3EBF">
            <w:pPr>
              <w:pStyle w:val="ListBullet2"/>
            </w:pPr>
            <w:r w:rsidRPr="002C3EBF">
              <w:t>load shedding</w:t>
            </w:r>
          </w:p>
          <w:p w:rsidR="00000000" w:rsidRPr="002C3EBF" w:rsidP="002C3EBF">
            <w:pPr>
              <w:pStyle w:val="ListBullet2"/>
            </w:pPr>
            <w:r w:rsidRPr="002C3EBF">
              <w:t>voltage control protection</w:t>
            </w:r>
          </w:p>
          <w:p w:rsidR="00000000" w:rsidRPr="002C3EBF" w:rsidP="002C3EBF">
            <w:pPr>
              <w:pStyle w:val="ListBullet2"/>
            </w:pPr>
            <w:r w:rsidRPr="002C3EBF">
              <w:t>frame leakage</w:t>
            </w:r>
          </w:p>
          <w:p w:rsidR="00000000" w:rsidRPr="002C3EBF" w:rsidP="002C3EBF">
            <w:pPr>
              <w:pStyle w:val="ListBullet2"/>
            </w:pPr>
            <w:r w:rsidRPr="002C3EBF">
              <w:t>delta current</w:t>
            </w:r>
          </w:p>
          <w:p w:rsidR="00000000" w:rsidRPr="002C3EBF" w:rsidP="002C3EBF">
            <w:pPr>
              <w:pStyle w:val="ListBullet2"/>
            </w:pPr>
            <w:r w:rsidRPr="002C3EBF">
              <w:t>reverse power</w:t>
            </w:r>
          </w:p>
          <w:p w:rsidR="00000000" w:rsidRPr="002C3EBF" w:rsidP="002C3EBF">
            <w:pPr>
              <w:pStyle w:val="ListBullet"/>
            </w:pPr>
            <w:r w:rsidRPr="002C3EBF">
              <w:t>dealing with unplanned events on at least one (1) occasion.</w:t>
            </w:r>
          </w:p>
        </w:tc>
      </w:tr>
    </w:tbl>
    <w:p w:rsidR="00000000" w:rsidRPr="002C3EBF" w:rsidP="002C3EBF">
      <w:pPr>
        <w:pStyle w:val="NoPaddingFontSize1"/>
      </w:pPr>
    </w:p>
    <w:p w:rsidR="00000000" w:rsidRPr="002C3EBF" w:rsidP="002C3EBF">
      <w:pPr>
        <w:pStyle w:val="AllowPageBreak"/>
      </w:pPr>
    </w:p>
    <w:p w:rsidR="00000000" w:rsidRPr="002C3EBF" w:rsidP="002C3EBF">
      <w:pPr>
        <w:pStyle w:val="Heading1"/>
      </w:pPr>
      <w:bookmarkStart w:id="3" w:name="O_1005473"/>
      <w:bookmarkEnd w:id="3"/>
      <w:r w:rsidRPr="002C3EB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3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EBF">
            <w:pPr>
              <w:pStyle w:val="BodyText"/>
              <w:rPr>
                <w:lang w:val="en-NZ"/>
              </w:rPr>
            </w:pPr>
            <w:r w:rsidRPr="002C3EB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C3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BF" w:rsidP="002C3EBF">
            <w:pPr>
              <w:pStyle w:val="ListBullet"/>
            </w:pPr>
            <w:r w:rsidRPr="002C3EBF">
              <w:t>commissioning procedures associated with discrete protection and control s</w:t>
            </w:r>
            <w:r w:rsidRPr="002C3EBF">
              <w:t>ystems encompassing:</w:t>
            </w:r>
          </w:p>
          <w:p w:rsidR="00000000" w:rsidRPr="002C3EBF" w:rsidP="002C3EBF">
            <w:pPr>
              <w:pStyle w:val="ListBullet2"/>
            </w:pPr>
            <w:r w:rsidRPr="002C3EBF">
              <w:t>standards, codes, Commonwealth/state/territory legislation, supply authority regulations and/or enterprise requirements associated with the commissioning procedures</w:t>
            </w:r>
          </w:p>
          <w:p w:rsidR="00000000" w:rsidRPr="002C3EBF" w:rsidP="002C3EBF">
            <w:pPr>
              <w:pStyle w:val="ListBullet2"/>
            </w:pPr>
            <w:r w:rsidRPr="002C3EBF">
              <w:t>requirements for the use of commissioning manuals, system diagrams/plans and drawings</w:t>
            </w:r>
          </w:p>
          <w:p w:rsidR="00000000" w:rsidRPr="002C3EBF" w:rsidP="002C3EBF">
            <w:pPr>
              <w:pStyle w:val="ListBullet2"/>
            </w:pPr>
            <w:r w:rsidRPr="002C3EBF">
              <w:t>techniques in commissioning procedures – planning, policy, testing techniques and close out requirements</w:t>
            </w:r>
          </w:p>
          <w:p w:rsidR="00000000" w:rsidRPr="002C3EBF" w:rsidP="002C3EBF">
            <w:pPr>
              <w:pStyle w:val="ListBullet"/>
            </w:pPr>
            <w:r w:rsidRPr="002C3EBF">
              <w:t>principles of power transformer construction and operations enco</w:t>
            </w:r>
            <w:r w:rsidRPr="002C3EBF">
              <w:t>mpassing:</w:t>
            </w:r>
          </w:p>
          <w:p w:rsidR="00000000" w:rsidRPr="002C3EBF" w:rsidP="002C3EBF">
            <w:pPr>
              <w:pStyle w:val="ListBullet2"/>
            </w:pPr>
            <w:r w:rsidRPr="002C3EBF">
              <w:t>applications of static reactive plant in high voltage (HV) networks, including voltage control, voltage-ampere reactive (VAR) control and transient response capacity</w:t>
            </w:r>
          </w:p>
          <w:p w:rsidR="00000000" w:rsidRPr="002C3EBF" w:rsidP="002C3EBF">
            <w:pPr>
              <w:pStyle w:val="ListBullet2"/>
            </w:pPr>
            <w:r w:rsidRPr="002C3EBF">
              <w:t>types of static reactive plant, including HV capacitors, HV reactors, static VA</w:t>
            </w:r>
            <w:r w:rsidRPr="002C3EBF">
              <w:t>R compensators and combinations of these</w:t>
            </w:r>
          </w:p>
          <w:p w:rsidR="00000000" w:rsidRPr="002C3EBF" w:rsidP="002C3EBF">
            <w:pPr>
              <w:pStyle w:val="ListBullet2"/>
            </w:pPr>
            <w:r w:rsidRPr="002C3EBF">
              <w:t>operating characteristics and operational constraints, including point on wave switching issues</w:t>
            </w:r>
          </w:p>
          <w:p w:rsidR="00000000" w:rsidRPr="002C3EBF" w:rsidP="002C3EBF">
            <w:pPr>
              <w:pStyle w:val="ListBullet2"/>
            </w:pPr>
            <w:r w:rsidRPr="002C3EBF">
              <w:t>ratings, cooling systems and control systems and ancillary equipment used</w:t>
            </w:r>
          </w:p>
          <w:p w:rsidR="00000000" w:rsidRPr="002C3EBF" w:rsidP="002C3EBF">
            <w:pPr>
              <w:pStyle w:val="ListBullet2"/>
            </w:pPr>
            <w:r w:rsidRPr="002C3EBF">
              <w:t>configurations and system layout, including s</w:t>
            </w:r>
            <w:r w:rsidRPr="002C3EBF">
              <w:t>ingle star, double star and bridge type</w:t>
            </w:r>
          </w:p>
          <w:p w:rsidR="00000000" w:rsidRPr="002C3EBF" w:rsidP="002C3EBF">
            <w:pPr>
              <w:pStyle w:val="ListBullet2"/>
            </w:pPr>
            <w:r w:rsidRPr="002C3EBF">
              <w:t>typical protection systems used, including neutral unbalance current and neutral unbalance voltage</w:t>
            </w:r>
          </w:p>
          <w:p w:rsidR="00000000" w:rsidRPr="002C3EBF" w:rsidP="002C3EBF">
            <w:pPr>
              <w:pStyle w:val="ListBullet2"/>
            </w:pPr>
            <w:r w:rsidRPr="002C3EBF">
              <w:t>techniques used when balancing elements within static reactive plant</w:t>
            </w:r>
          </w:p>
          <w:p w:rsidR="00000000" w:rsidRPr="002C3EBF" w:rsidP="002C3EBF">
            <w:pPr>
              <w:pStyle w:val="ListBullet2"/>
            </w:pPr>
            <w:r w:rsidRPr="002C3EBF">
              <w:t xml:space="preserve">safety precautions when testing and maintaining </w:t>
            </w:r>
            <w:r w:rsidRPr="002C3EBF">
              <w:t>HV static reactive plant - safe working practices and procedures; identification of hazards; assessment and control of WHS/OHS risks; types, selection, maintenance and use of personal protective equipment (PPE).</w:t>
            </w:r>
          </w:p>
        </w:tc>
      </w:tr>
    </w:tbl>
    <w:p w:rsidR="00000000" w:rsidRPr="002C3EBF" w:rsidP="002C3EBF">
      <w:pPr>
        <w:pStyle w:val="NoPaddingFontSize1"/>
      </w:pPr>
    </w:p>
    <w:p w:rsidR="00000000" w:rsidRPr="002C3EBF" w:rsidP="002C3EBF">
      <w:pPr>
        <w:pStyle w:val="AllowPageBreak"/>
      </w:pPr>
    </w:p>
    <w:p w:rsidR="00000000" w:rsidRPr="002C3EBF" w:rsidP="002C3EBF">
      <w:pPr>
        <w:pStyle w:val="Heading1"/>
      </w:pPr>
      <w:bookmarkStart w:id="4" w:name="O_1005474"/>
      <w:bookmarkEnd w:id="4"/>
      <w:r w:rsidRPr="002C3EB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3E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EBF" w:rsidP="002C3EBF">
            <w:pPr>
              <w:pStyle w:val="BodyText"/>
            </w:pPr>
            <w:r w:rsidRPr="002C3EBF">
              <w:t>Assessors must hold credentials specified within the Standards for Registered Training Organisations current at the time of assessment.</w:t>
            </w:r>
          </w:p>
          <w:p w:rsidR="00000000" w:rsidRPr="002C3EBF" w:rsidP="002C3EBF">
            <w:pPr>
              <w:pStyle w:val="BodyText"/>
            </w:pPr>
            <w:r w:rsidRPr="002C3EBF">
              <w:t>Assessment must satisfy the Principles of Assessment and Rules of Evidence and all regulatory requirements included with</w:t>
            </w:r>
            <w:r w:rsidRPr="002C3EBF">
              <w:t>in the Standards for Registered Training Organisations current at the time of assessment.</w:t>
            </w:r>
          </w:p>
          <w:p w:rsidR="00000000" w:rsidRPr="002C3EBF" w:rsidP="002C3EBF">
            <w:pPr>
              <w:pStyle w:val="BodyText"/>
            </w:pPr>
            <w:r w:rsidRPr="002C3EBF">
              <w:t>Assessment must occur in workplace operational situations where it is appropriate to do so; where this is not appropriate, assessment must occur in simulated conditio</w:t>
            </w:r>
            <w:r w:rsidRPr="002C3EBF">
              <w:t>ns involving realistic and authentic activities that replicate operational workplace conditions.</w:t>
            </w:r>
          </w:p>
          <w:p w:rsidR="00000000" w:rsidRPr="002C3EBF" w:rsidP="002C3EBF">
            <w:pPr>
              <w:pStyle w:val="BodyText"/>
            </w:pPr>
            <w:r w:rsidRPr="002C3EBF">
              <w:t>Assessment processes and techniques must be appropriate to the language, literacy and numeracy requirements of the work being performed and the needs of the ca</w:t>
            </w:r>
            <w:r w:rsidRPr="002C3EBF">
              <w:t>ndidate.</w:t>
            </w:r>
          </w:p>
          <w:p w:rsidR="00000000" w:rsidRPr="002C3EBF" w:rsidP="002C3EBF">
            <w:pPr>
              <w:pStyle w:val="BodyText"/>
            </w:pPr>
            <w:r w:rsidRPr="002C3EBF">
              <w:t>Resources for assessment must include access to:</w:t>
            </w:r>
          </w:p>
          <w:p w:rsidR="00000000" w:rsidRPr="002C3EBF" w:rsidP="002C3EBF">
            <w:pPr>
              <w:pStyle w:val="ListBullet"/>
            </w:pPr>
            <w:r w:rsidRPr="002C3EBF">
              <w:t>a range of relevant exercises, case studies and/or other simulations</w:t>
            </w:r>
          </w:p>
          <w:p w:rsidR="00000000" w:rsidRPr="002C3EBF" w:rsidP="002C3EBF">
            <w:pPr>
              <w:pStyle w:val="ListBullet"/>
            </w:pPr>
            <w:r w:rsidRPr="002C3EBF">
              <w:t>relevant and appropriate materials, tools, facilities, equipment and PPE currently used in industry</w:t>
            </w:r>
          </w:p>
          <w:p w:rsidR="00000000" w:rsidRPr="002C3EBF" w:rsidP="002C3EBF">
            <w:pPr>
              <w:pStyle w:val="ListBullet"/>
            </w:pPr>
            <w:r w:rsidRPr="002C3EBF">
              <w:t>applicable documentation inc</w:t>
            </w:r>
            <w:r w:rsidRPr="002C3EBF">
              <w:t>luding workplace procedures, relevant industry standards, equipment specifications, regulations, codes of practice and operation manuals</w:t>
            </w:r>
          </w:p>
          <w:p w:rsidR="00000000" w:rsidRPr="002C3EBF" w:rsidP="002C3EBF">
            <w:pPr>
              <w:pStyle w:val="ListBullet"/>
            </w:pPr>
            <w:r w:rsidRPr="002C3EBF">
              <w:t>working at realistic heights above ground i.e. above 3 metres, in limited spaces, with different structural/constructio</w:t>
            </w:r>
            <w:r w:rsidRPr="002C3EBF">
              <w:t>n types and method and in a variety of environments.</w:t>
            </w:r>
          </w:p>
        </w:tc>
      </w:tr>
    </w:tbl>
    <w:p w:rsidR="00000000" w:rsidRPr="002C3EBF" w:rsidP="002C3EBF">
      <w:pPr>
        <w:pStyle w:val="NoPaddingFontSize1"/>
      </w:pPr>
    </w:p>
    <w:p w:rsidR="00000000" w:rsidRPr="002C3EBF" w:rsidP="002C3EBF">
      <w:pPr>
        <w:pStyle w:val="AllowPageBreak"/>
      </w:pPr>
    </w:p>
    <w:p w:rsidR="00000000" w:rsidRPr="002C3EBF" w:rsidP="002C3EBF">
      <w:pPr>
        <w:pStyle w:val="Heading1"/>
      </w:pPr>
      <w:bookmarkStart w:id="5" w:name="O_1005477"/>
      <w:bookmarkEnd w:id="5"/>
      <w:r w:rsidRPr="002C3EBF">
        <w:t>Links</w:t>
      </w:r>
    </w:p>
    <w:p w:rsidR="00000000" w:rsidRPr="002C3EBF" w:rsidP="00752712">
      <w:pPr>
        <w:pStyle w:val="BodyText"/>
      </w:pPr>
      <w:r w:rsidRPr="002C3EBF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B53A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C3EBF" w:rsidP="002C3EBF"/>
    <w:sectPr w:rsidSect="002C3E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BF" w:rsidRPr="00752712" w:rsidP="007527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12" w:rsidP="002C3E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2712" w:rsidP="002C3E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52712" w:rsidP="002C3E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EBF" w:rsidRPr="00752712" w:rsidP="007527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12" w:rsidRPr="002D2AF8" w:rsidP="002C3E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UETTDRTS22 Commission interdependent network protection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752712" w:rsidP="002C3E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5C60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9606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2A27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E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E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E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E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E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E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E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E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E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E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E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EBF"/>
  </w:style>
  <w:style w:type="character" w:customStyle="1" w:styleId="Heading1Char">
    <w:name w:val="Heading 1 Char"/>
    <w:basedOn w:val="DefaultParagraphFont"/>
    <w:link w:val="Heading1"/>
    <w:rsid w:val="002C3E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E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E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3E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3E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3E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E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C3E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E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E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E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E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E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E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E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E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E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E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E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E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E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E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E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E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E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3E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3E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3EBF"/>
    <w:rPr>
      <w:b/>
      <w:spacing w:val="0"/>
    </w:rPr>
  </w:style>
  <w:style w:type="paragraph" w:customStyle="1" w:styleId="SuperTitle">
    <w:name w:val="SuperTitle"/>
    <w:basedOn w:val="Title"/>
    <w:rsid w:val="002C3E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E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E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3E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E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E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E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E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E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E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E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E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3EBF"/>
    <w:rPr>
      <w:i/>
    </w:rPr>
  </w:style>
  <w:style w:type="paragraph" w:styleId="Caption">
    <w:name w:val="caption"/>
    <w:basedOn w:val="BodyText"/>
    <w:next w:val="Normal"/>
    <w:qFormat/>
    <w:rsid w:val="002C3E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E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E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EBF"/>
  </w:style>
  <w:style w:type="paragraph" w:styleId="TableofFigures">
    <w:name w:val="table of figures"/>
    <w:basedOn w:val="Normal"/>
    <w:next w:val="Normal"/>
    <w:semiHidden/>
    <w:rsid w:val="002C3E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E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3EBF"/>
    <w:rPr>
      <w:rFonts w:ascii="Wingdings" w:hAnsi="Wingdings"/>
    </w:rPr>
  </w:style>
  <w:style w:type="paragraph" w:customStyle="1" w:styleId="TableHeading">
    <w:name w:val="Table Heading"/>
    <w:basedOn w:val="HeadingBase"/>
    <w:rsid w:val="002C3E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EBF"/>
    <w:rPr>
      <w:color w:val="0033CC"/>
      <w:u w:val="none"/>
    </w:rPr>
  </w:style>
  <w:style w:type="paragraph" w:customStyle="1" w:styleId="BodyTextRight">
    <w:name w:val="Body Text Right"/>
    <w:basedOn w:val="BodyText"/>
    <w:rsid w:val="002C3E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E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E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E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E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E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EBF"/>
    <w:rPr>
      <w:sz w:val="32"/>
    </w:rPr>
  </w:style>
  <w:style w:type="paragraph" w:customStyle="1" w:styleId="HeadingProcedure">
    <w:name w:val="Heading Procedure"/>
    <w:basedOn w:val="HeadingBase"/>
    <w:next w:val="Normal"/>
    <w:rsid w:val="002C3E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EBF"/>
    <w:pPr>
      <w:spacing w:before="60" w:after="60"/>
    </w:pPr>
  </w:style>
  <w:style w:type="paragraph" w:styleId="ListContinue">
    <w:name w:val="List Continue"/>
    <w:basedOn w:val="List"/>
    <w:rsid w:val="002C3EBF"/>
    <w:pPr>
      <w:ind w:firstLine="0"/>
    </w:pPr>
  </w:style>
  <w:style w:type="paragraph" w:customStyle="1" w:styleId="ListNote">
    <w:name w:val="List Note"/>
    <w:basedOn w:val="List"/>
    <w:rsid w:val="002C3E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E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E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EBF"/>
    <w:rPr>
      <w:rFonts w:ascii="Courier New" w:hAnsi="Courier New"/>
    </w:rPr>
  </w:style>
  <w:style w:type="paragraph" w:customStyle="1" w:styleId="NoteBullet">
    <w:name w:val="Note Bullet"/>
    <w:basedOn w:val="Note"/>
    <w:rsid w:val="002C3E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E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E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E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E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3E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E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EBF"/>
    <w:rPr>
      <w:b/>
      <w:smallCaps/>
    </w:rPr>
  </w:style>
  <w:style w:type="paragraph" w:customStyle="1" w:styleId="TableListNumber">
    <w:name w:val="Table List Number"/>
    <w:basedOn w:val="ListNumber"/>
    <w:rsid w:val="002C3E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E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EBF"/>
    <w:pPr>
      <w:numPr>
        <w:numId w:val="9"/>
      </w:numPr>
    </w:pPr>
  </w:style>
  <w:style w:type="paragraph" w:customStyle="1" w:styleId="ListAlpha2">
    <w:name w:val="List Alpha 2"/>
    <w:basedOn w:val="List2"/>
    <w:rsid w:val="002C3EBF"/>
    <w:pPr>
      <w:numPr>
        <w:numId w:val="8"/>
      </w:numPr>
    </w:pPr>
  </w:style>
  <w:style w:type="paragraph" w:styleId="List2">
    <w:name w:val="List 2"/>
    <w:basedOn w:val="BodyText"/>
    <w:rsid w:val="002C3E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E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E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E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3E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3E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3EBF"/>
    <w:pPr>
      <w:numPr>
        <w:numId w:val="4"/>
      </w:numPr>
    </w:pPr>
  </w:style>
  <w:style w:type="paragraph" w:styleId="ListContinue2">
    <w:name w:val="List Continue 2"/>
    <w:basedOn w:val="List2"/>
    <w:rsid w:val="002C3EBF"/>
    <w:pPr>
      <w:ind w:firstLine="0"/>
    </w:pPr>
  </w:style>
  <w:style w:type="paragraph" w:styleId="ListContinue3">
    <w:name w:val="List Continue 3"/>
    <w:basedOn w:val="List3"/>
    <w:rsid w:val="002C3EBF"/>
    <w:pPr>
      <w:ind w:left="1021" w:firstLine="0"/>
    </w:pPr>
  </w:style>
  <w:style w:type="paragraph" w:styleId="ListContinue4">
    <w:name w:val="List Continue 4"/>
    <w:basedOn w:val="List4"/>
    <w:rsid w:val="002C3EBF"/>
    <w:pPr>
      <w:ind w:firstLine="0"/>
    </w:pPr>
  </w:style>
  <w:style w:type="paragraph" w:styleId="ListContinue5">
    <w:name w:val="List Continue 5"/>
    <w:basedOn w:val="List5"/>
    <w:rsid w:val="002C3EBF"/>
    <w:pPr>
      <w:ind w:firstLine="0"/>
    </w:pPr>
  </w:style>
  <w:style w:type="paragraph" w:styleId="ListNumber3">
    <w:name w:val="List Number 3"/>
    <w:basedOn w:val="List3"/>
    <w:rsid w:val="002C3EBF"/>
    <w:pPr>
      <w:numPr>
        <w:numId w:val="5"/>
      </w:numPr>
    </w:pPr>
  </w:style>
  <w:style w:type="paragraph" w:styleId="ListNumber4">
    <w:name w:val="List Number 4"/>
    <w:basedOn w:val="List4"/>
    <w:rsid w:val="002C3EBF"/>
    <w:pPr>
      <w:numPr>
        <w:numId w:val="6"/>
      </w:numPr>
    </w:pPr>
  </w:style>
  <w:style w:type="paragraph" w:styleId="ListNumber5">
    <w:name w:val="List Number 5"/>
    <w:basedOn w:val="List5"/>
    <w:rsid w:val="002C3EBF"/>
    <w:pPr>
      <w:numPr>
        <w:numId w:val="7"/>
      </w:numPr>
    </w:pPr>
  </w:style>
  <w:style w:type="paragraph" w:styleId="BlockText">
    <w:name w:val="Block Text"/>
    <w:basedOn w:val="Normal"/>
    <w:rsid w:val="002C3E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E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EBF"/>
    <w:rPr>
      <w:sz w:val="16"/>
      <w:vertAlign w:val="superscript"/>
    </w:rPr>
  </w:style>
  <w:style w:type="character" w:customStyle="1" w:styleId="Symbols">
    <w:name w:val="Symbols"/>
    <w:basedOn w:val="DefaultParagraphFont"/>
    <w:rsid w:val="002C3EBF"/>
    <w:rPr>
      <w:rFonts w:ascii="Symbol" w:hAnsi="Symbol"/>
    </w:rPr>
  </w:style>
  <w:style w:type="character" w:customStyle="1" w:styleId="MenuOptions">
    <w:name w:val="Menu Options"/>
    <w:basedOn w:val="DefaultParagraphFont"/>
    <w:rsid w:val="002C3E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EBF"/>
    <w:rPr>
      <w:b/>
    </w:rPr>
  </w:style>
  <w:style w:type="character" w:customStyle="1" w:styleId="Underlined">
    <w:name w:val="Underlined"/>
    <w:basedOn w:val="DefaultParagraphFont"/>
    <w:rsid w:val="002C3EBF"/>
    <w:rPr>
      <w:u w:val="single"/>
    </w:rPr>
  </w:style>
  <w:style w:type="paragraph" w:customStyle="1" w:styleId="TableBodyTextRight">
    <w:name w:val="Table Body Text Right"/>
    <w:basedOn w:val="TableBodyText"/>
    <w:rsid w:val="002C3E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EBF"/>
    <w:rPr>
      <w:sz w:val="18"/>
    </w:rPr>
  </w:style>
  <w:style w:type="paragraph" w:customStyle="1" w:styleId="BodySmallRight">
    <w:name w:val="Body Small Right"/>
    <w:basedOn w:val="BodyTextRight"/>
    <w:rsid w:val="002C3EBF"/>
    <w:rPr>
      <w:sz w:val="18"/>
      <w:szCs w:val="18"/>
    </w:rPr>
  </w:style>
  <w:style w:type="paragraph" w:customStyle="1" w:styleId="MarginEdition">
    <w:name w:val="Margin Edition"/>
    <w:basedOn w:val="MarginNote"/>
    <w:rsid w:val="002C3E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EBF"/>
    <w:rPr>
      <w:sz w:val="2"/>
      <w:szCs w:val="2"/>
    </w:rPr>
  </w:style>
  <w:style w:type="character" w:customStyle="1" w:styleId="Small">
    <w:name w:val="Small"/>
    <w:basedOn w:val="DefaultParagraphFont"/>
    <w:rsid w:val="002C3EBF"/>
    <w:rPr>
      <w:sz w:val="16"/>
    </w:rPr>
  </w:style>
  <w:style w:type="paragraph" w:customStyle="1" w:styleId="WideTable">
    <w:name w:val="Wide Table"/>
    <w:basedOn w:val="Normal"/>
    <w:rsid w:val="002C3E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EBF"/>
  </w:style>
  <w:style w:type="paragraph" w:styleId="Quote">
    <w:name w:val="Quote"/>
    <w:basedOn w:val="Heading1"/>
    <w:link w:val="QuoteChar"/>
    <w:qFormat/>
    <w:rsid w:val="002C3E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E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EBF"/>
    <w:pPr>
      <w:pageBreakBefore/>
    </w:pPr>
  </w:style>
  <w:style w:type="paragraph" w:customStyle="1" w:styleId="Border">
    <w:name w:val="Border"/>
    <w:basedOn w:val="Normal"/>
    <w:qFormat/>
    <w:rsid w:val="002C3E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E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E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E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E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E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E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E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E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EBF"/>
    <w:rPr>
      <w:u w:val="single"/>
    </w:rPr>
  </w:style>
  <w:style w:type="character" w:customStyle="1" w:styleId="BoldandItalics">
    <w:name w:val="Bold and Italics"/>
    <w:qFormat/>
    <w:rsid w:val="002C3EBF"/>
    <w:rPr>
      <w:b/>
      <w:i/>
      <w:u w:val="none"/>
    </w:rPr>
  </w:style>
  <w:style w:type="paragraph" w:styleId="BalloonText">
    <w:name w:val="Balloon Text"/>
    <w:basedOn w:val="Normal"/>
    <w:link w:val="BalloonTextChar"/>
    <w:rsid w:val="002C3E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E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E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E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E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E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EBF"/>
    <w:pPr>
      <w:spacing w:before="0" w:after="0"/>
    </w:pPr>
  </w:style>
  <w:style w:type="paragraph" w:customStyle="1" w:styleId="BodyTextBold">
    <w:name w:val="Body Text Bold"/>
    <w:basedOn w:val="BodyText"/>
    <w:qFormat/>
    <w:rsid w:val="002C3EBF"/>
    <w:rPr>
      <w:b/>
    </w:rPr>
  </w:style>
  <w:style w:type="character" w:styleId="Hyperlink">
    <w:name w:val="Hyperlink"/>
    <w:basedOn w:val="DefaultParagraphFont"/>
    <w:uiPriority w:val="99"/>
    <w:unhideWhenUsed/>
    <w:rsid w:val="007527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3992</Characters>
  <Application>Microsoft Office Word</Application>
  <DocSecurity>0</DocSecurity>
  <Lines>90</Lines>
  <Paragraphs>58</Paragraphs>
  <ScaleCrop>false</ScaleCrop>
  <Company>Author-it Software Corporation Ltd.</Company>
  <LinksUpToDate>false</LinksUpToDate>
  <CharactersWithSpaces>4520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UETTDRTS22 Commission interdependent network protection and control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2021-04-20T06:34:00Z</dcterms:created>
  <dcterms:modified xsi:type="dcterms:W3CDTF">2021-04-20T06:34:00Z</dcterms:modified>
</cp:coreProperties>
</file>