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B5D" w:rsidP="002B5B5D">
      <w:pPr>
        <w:pStyle w:val="Title"/>
      </w:pPr>
      <w:r>
        <w:fldChar w:fldCharType="begin"/>
      </w:r>
      <w:r>
        <w:instrText xml:space="preserve"> TITLE   \* MERGEFORMAT </w:instrText>
      </w:r>
      <w:r>
        <w:fldChar w:fldCharType="separate"/>
      </w:r>
      <w:r>
        <w:t>Assessment Requirements for UETTDRSO46 Monitor and control the field staff activities</w:t>
      </w:r>
      <w:r>
        <w:fldChar w:fldCharType="end"/>
      </w:r>
    </w:p>
    <w:p w:rsidR="002B5B5D" w:rsidP="002B5B5D">
      <w:pPr>
        <w:pStyle w:val="Version"/>
        <w:sectPr w:rsidSect="003C0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1AF" w:rsidP="003C01AF">
      <w:pPr>
        <w:pStyle w:val="SuperHeading"/>
      </w:pPr>
      <w:r w:rsidRPr="003C01AF">
        <w:t>Assessment Requirements for UETTDRSO46 Monitor and control the field staff activities</w:t>
      </w:r>
    </w:p>
    <w:p w:rsidR="00000000" w:rsidRPr="003C01AF" w:rsidP="003C01AF">
      <w:pPr>
        <w:pStyle w:val="Heading1"/>
      </w:pPr>
      <w:bookmarkStart w:id="1" w:name="O_1005053"/>
      <w:bookmarkEnd w:id="1"/>
      <w:r w:rsidRPr="003C01AF">
        <w:t>Modification History</w:t>
      </w:r>
    </w:p>
    <w:tbl>
      <w:tblPr>
        <w:tblW w:w="9497" w:type="dxa"/>
        <w:tblLayout w:type="fixed"/>
        <w:tblCellMar>
          <w:left w:w="62" w:type="dxa"/>
          <w:right w:w="62" w:type="dxa"/>
        </w:tblCellMar>
        <w:tblLook w:val="0000"/>
      </w:tblPr>
      <w:tblGrid>
        <w:gridCol w:w="9497"/>
      </w:tblGrid>
      <w:tr w:rsidTr="003C0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1AF" w:rsidP="003C01AF">
            <w:pPr>
              <w:pStyle w:val="BodyText"/>
            </w:pPr>
            <w:r w:rsidRPr="003C01AF">
              <w:t>Release 1. This is the first release of this unit of competency in the UET Transmission, Distribution and Rail Sector Training Package.</w:t>
            </w:r>
          </w:p>
        </w:tc>
      </w:tr>
    </w:tbl>
    <w:p w:rsidR="00000000" w:rsidRPr="003C01AF" w:rsidP="003C01AF">
      <w:pPr>
        <w:pStyle w:val="NoPaddingFontSize1"/>
      </w:pPr>
    </w:p>
    <w:p w:rsidR="00000000" w:rsidRPr="003C01AF" w:rsidP="003C01AF">
      <w:pPr>
        <w:pStyle w:val="AllowPageBreak"/>
      </w:pPr>
    </w:p>
    <w:p w:rsidR="00000000" w:rsidRPr="003C01AF" w:rsidP="003C01AF">
      <w:pPr>
        <w:pStyle w:val="Heading1"/>
      </w:pPr>
      <w:bookmarkStart w:id="2" w:name="O_1005054"/>
      <w:bookmarkEnd w:id="2"/>
      <w:r w:rsidRPr="003C01AF">
        <w:t>Performance Evidence</w:t>
      </w:r>
    </w:p>
    <w:tbl>
      <w:tblPr>
        <w:tblW w:w="9497" w:type="dxa"/>
        <w:tblLayout w:type="fixed"/>
        <w:tblCellMar>
          <w:left w:w="62" w:type="dxa"/>
          <w:right w:w="62" w:type="dxa"/>
        </w:tblCellMar>
        <w:tblLook w:val="0000"/>
      </w:tblPr>
      <w:tblGrid>
        <w:gridCol w:w="9497"/>
      </w:tblGrid>
      <w:tr w:rsidTr="003C0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01AF">
            <w:pPr>
              <w:pStyle w:val="BodyText"/>
              <w:rPr>
                <w:lang w:val="en-NZ"/>
              </w:rPr>
            </w:pPr>
            <w:r w:rsidRPr="003C01AF">
              <w:t>Evidence required to demonstrate competence in this unit must be relevant to a</w:t>
            </w:r>
            <w:r w:rsidRPr="003C01AF">
              <w:t xml:space="preserve">nd satisfy all of the requirements of the elements and performance criteria on at least two separate occasions and include:  </w:t>
            </w:r>
          </w:p>
        </w:tc>
      </w:tr>
      <w:tr w:rsidTr="003C0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1AF" w:rsidP="003C01AF">
            <w:pPr>
              <w:pStyle w:val="ListBullet"/>
            </w:pPr>
            <w:r w:rsidRPr="003C01AF">
              <w:t>applying relevant work health and safety (WHS/occupational health and safety (OHS) requirements, including the use of risk contr</w:t>
            </w:r>
            <w:r w:rsidRPr="003C01AF">
              <w:t>ol measures</w:t>
            </w:r>
          </w:p>
          <w:p w:rsidR="00000000" w:rsidRPr="003C01AF" w:rsidP="003C01AF">
            <w:pPr>
              <w:pStyle w:val="ListBullet"/>
            </w:pPr>
            <w:r w:rsidRPr="003C01AF">
              <w:t>applying sustainable energy principles and practices</w:t>
            </w:r>
          </w:p>
          <w:p w:rsidR="00000000" w:rsidRPr="003C01AF" w:rsidP="003C01AF">
            <w:pPr>
              <w:pStyle w:val="ListBullet"/>
            </w:pPr>
            <w:r w:rsidRPr="003C01AF">
              <w:t>completing all the following:</w:t>
            </w:r>
          </w:p>
          <w:p w:rsidR="00000000" w:rsidRPr="003C01AF" w:rsidP="003C01AF">
            <w:pPr>
              <w:pStyle w:val="ListBullet2"/>
            </w:pPr>
            <w:r w:rsidRPr="003C01AF">
              <w:t>evaluating, responding to and reporting threats to systems operation/security</w:t>
            </w:r>
          </w:p>
          <w:p w:rsidR="00000000" w:rsidRPr="003C01AF" w:rsidP="003C01AF">
            <w:pPr>
              <w:pStyle w:val="ListBullet2"/>
            </w:pPr>
            <w:r w:rsidRPr="003C01AF">
              <w:t xml:space="preserve">identifying and reporting abnormal conditions of the network </w:t>
            </w:r>
          </w:p>
          <w:p w:rsidR="00000000" w:rsidRPr="003C01AF" w:rsidP="003C01AF">
            <w:pPr>
              <w:pStyle w:val="ListBullet2"/>
            </w:pPr>
            <w:r w:rsidRPr="003C01AF">
              <w:t>using relevant field permit to work systems</w:t>
            </w:r>
          </w:p>
          <w:p w:rsidR="00000000" w:rsidRPr="003C01AF" w:rsidP="003C01AF">
            <w:pPr>
              <w:pStyle w:val="ListBullet2"/>
            </w:pPr>
            <w:r w:rsidRPr="003C01AF">
              <w:t>responding correctly to alarms</w:t>
            </w:r>
          </w:p>
          <w:p w:rsidR="00000000" w:rsidRPr="003C01AF" w:rsidP="003C01AF">
            <w:pPr>
              <w:pStyle w:val="ListBullet2"/>
            </w:pPr>
            <w:r w:rsidRPr="003C01AF">
              <w:t>monitoring field work activities</w:t>
            </w:r>
          </w:p>
          <w:p w:rsidR="00000000" w:rsidRPr="003C01AF" w:rsidP="003C01AF">
            <w:pPr>
              <w:pStyle w:val="ListBullet2"/>
            </w:pPr>
            <w:r w:rsidRPr="003C01AF">
              <w:t>communicating effectively in the workplace</w:t>
            </w:r>
          </w:p>
          <w:p w:rsidR="00000000" w:rsidRPr="003C01AF" w:rsidP="003C01AF">
            <w:pPr>
              <w:pStyle w:val="ListBullet2"/>
            </w:pPr>
            <w:r w:rsidRPr="003C01AF">
              <w:t>operating communications equipment</w:t>
            </w:r>
          </w:p>
          <w:p w:rsidR="00000000" w:rsidRPr="003C01AF" w:rsidP="003C01AF">
            <w:pPr>
              <w:pStyle w:val="ListBullet2"/>
            </w:pPr>
            <w:r w:rsidRPr="003C01AF">
              <w:t>interpreting technical drawings and symbols</w:t>
            </w:r>
          </w:p>
          <w:p w:rsidR="00000000" w:rsidRPr="003C01AF" w:rsidP="003C01AF">
            <w:pPr>
              <w:pStyle w:val="ListBullet2"/>
            </w:pPr>
            <w:r w:rsidRPr="003C01AF">
              <w:t>following emergency respon</w:t>
            </w:r>
            <w:r w:rsidRPr="003C01AF">
              <w:t>se procedures</w:t>
            </w:r>
          </w:p>
          <w:p w:rsidR="00000000" w:rsidRPr="003C01AF" w:rsidP="003C01AF">
            <w:pPr>
              <w:pStyle w:val="ListBullet2"/>
            </w:pPr>
            <w:r w:rsidRPr="003C01AF">
              <w:t>utilising relevant WHS/OHS legislation, regulations, codes of practice, policies and procedures</w:t>
            </w:r>
          </w:p>
          <w:p w:rsidR="00000000" w:rsidRPr="003C01AF" w:rsidP="003C01AF">
            <w:pPr>
              <w:pStyle w:val="ListBullet2"/>
            </w:pPr>
            <w:r w:rsidRPr="003C01AF">
              <w:t>applying planning skills</w:t>
            </w:r>
          </w:p>
          <w:p w:rsidR="00000000" w:rsidRPr="003C01AF" w:rsidP="003C01AF">
            <w:pPr>
              <w:pStyle w:val="ListBullet"/>
            </w:pPr>
            <w:r w:rsidRPr="003C01AF">
              <w:t>dealing with unplanned events on at least one (1) occasion.</w:t>
            </w:r>
          </w:p>
        </w:tc>
      </w:tr>
    </w:tbl>
    <w:p w:rsidR="00000000" w:rsidRPr="003C01AF" w:rsidP="003C01AF">
      <w:pPr>
        <w:pStyle w:val="NoPaddingFontSize1"/>
      </w:pPr>
    </w:p>
    <w:p w:rsidR="00000000" w:rsidRPr="003C01AF" w:rsidP="003C01AF">
      <w:pPr>
        <w:pStyle w:val="AllowPageBreak"/>
      </w:pPr>
    </w:p>
    <w:p w:rsidR="00000000" w:rsidRPr="003C01AF" w:rsidP="003C01AF">
      <w:pPr>
        <w:pStyle w:val="Heading1"/>
      </w:pPr>
      <w:bookmarkStart w:id="3" w:name="O_1005055"/>
      <w:bookmarkEnd w:id="3"/>
      <w:r w:rsidRPr="003C01AF">
        <w:t>Knowledge Evidence</w:t>
      </w:r>
    </w:p>
    <w:tbl>
      <w:tblPr>
        <w:tblW w:w="9497" w:type="dxa"/>
        <w:tblLayout w:type="fixed"/>
        <w:tblCellMar>
          <w:left w:w="62" w:type="dxa"/>
          <w:right w:w="62" w:type="dxa"/>
        </w:tblCellMar>
        <w:tblLook w:val="0000"/>
      </w:tblPr>
      <w:tblGrid>
        <w:gridCol w:w="9497"/>
      </w:tblGrid>
      <w:tr w:rsidTr="003C0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01AF">
            <w:pPr>
              <w:pStyle w:val="BodyText"/>
              <w:rPr>
                <w:lang w:val="en-NZ"/>
              </w:rPr>
            </w:pPr>
            <w:r w:rsidRPr="003C01AF">
              <w:t>Evidence required to demonstrate competence in this unit must be relevant to and satisfy all of the requirements of the elements and performance criteria and include knowledge of:</w:t>
            </w:r>
          </w:p>
        </w:tc>
      </w:tr>
      <w:tr w:rsidTr="003C0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1AF" w:rsidP="003C01AF">
            <w:pPr>
              <w:pStyle w:val="ListBullet"/>
            </w:pPr>
            <w:r w:rsidRPr="003C01AF">
              <w:t>personal computer operating systems encompassing:</w:t>
            </w:r>
          </w:p>
          <w:p w:rsidR="00000000" w:rsidRPr="003C01AF" w:rsidP="003C01AF">
            <w:pPr>
              <w:pStyle w:val="ListBullet2"/>
            </w:pPr>
            <w:r w:rsidRPr="003C01AF">
              <w:t>basic function, compone</w:t>
            </w:r>
            <w:r w:rsidRPr="003C01AF">
              <w:t>nts and concepts</w:t>
            </w:r>
          </w:p>
          <w:p w:rsidR="00000000" w:rsidRPr="003C01AF" w:rsidP="003C01AF">
            <w:pPr>
              <w:pStyle w:val="ListBullet2"/>
            </w:pPr>
            <w:r w:rsidRPr="003C01AF">
              <w:t>operating systems in use</w:t>
            </w:r>
          </w:p>
          <w:p w:rsidR="00000000" w:rsidRPr="003C01AF" w:rsidP="003C01AF">
            <w:pPr>
              <w:pStyle w:val="ListBullet2"/>
            </w:pPr>
            <w:r w:rsidRPr="003C01AF">
              <w:t>system installation and configuration</w:t>
            </w:r>
          </w:p>
          <w:p w:rsidR="00000000" w:rsidRPr="003C01AF" w:rsidP="003C01AF">
            <w:pPr>
              <w:pStyle w:val="ListBullet"/>
            </w:pPr>
            <w:r w:rsidRPr="003C01AF">
              <w:t>transmission, distribution and rail systems encompassing:</w:t>
            </w:r>
          </w:p>
          <w:p w:rsidR="00000000" w:rsidRPr="003C01AF" w:rsidP="003C01AF">
            <w:pPr>
              <w:pStyle w:val="ListBullet2"/>
            </w:pPr>
            <w:r w:rsidRPr="003C01AF">
              <w:t xml:space="preserve">relationship between the transmission, distribution and rail/tram system within an overall </w:t>
            </w:r>
            <w:r w:rsidRPr="003C01AF">
              <w:t>power system - different organisations responsible for generation, transmission, distribution and rail/tram; how they correlate and their functions</w:t>
            </w:r>
          </w:p>
          <w:p w:rsidR="00000000" w:rsidRPr="003C01AF" w:rsidP="003C01AF">
            <w:pPr>
              <w:pStyle w:val="ListBullet2"/>
            </w:pPr>
            <w:r w:rsidRPr="003C01AF">
              <w:t>characteristics of a transmission, distribution and rail system - principal components; typical voltage leve</w:t>
            </w:r>
            <w:r w:rsidRPr="003C01AF">
              <w:t>ls and methods of transmission and distribution, including grid type transmission systems, radial, parallel and ring main feeders</w:t>
            </w:r>
          </w:p>
          <w:p w:rsidR="00000000" w:rsidRPr="003C01AF" w:rsidP="003C01AF">
            <w:pPr>
              <w:pStyle w:val="ListBullet2"/>
            </w:pPr>
            <w:r w:rsidRPr="003C01AF">
              <w:t>relationship between an overhead and underground supply systems within an overall power system - advantages/disadvantages, app</w:t>
            </w:r>
            <w:r w:rsidRPr="003C01AF">
              <w:t>lications and the basic steps for planning and installing an overhead and underground distribution system</w:t>
            </w:r>
          </w:p>
          <w:p w:rsidR="00000000" w:rsidRPr="003C01AF" w:rsidP="003C01AF">
            <w:pPr>
              <w:pStyle w:val="ListBullet2"/>
            </w:pPr>
            <w:r w:rsidRPr="003C01AF">
              <w:t>single line drawings and layouts - drawings and layouts of transmission and distribution systems, including radial, parallel and ring main feeders and</w:t>
            </w:r>
            <w:r w:rsidRPr="003C01AF">
              <w:t xml:space="preserve"> the high voltage (HV) equipment associated with substations</w:t>
            </w:r>
          </w:p>
          <w:p w:rsidR="00000000" w:rsidRPr="003C01AF" w:rsidP="003C01AF">
            <w:pPr>
              <w:pStyle w:val="ListBullet"/>
            </w:pPr>
            <w:r w:rsidRPr="003C01AF">
              <w:t>coordinating access authority procedures encompassing:</w:t>
            </w:r>
          </w:p>
          <w:p w:rsidR="00000000" w:rsidRPr="003C01AF" w:rsidP="003C01AF">
            <w:pPr>
              <w:pStyle w:val="ListBullet2"/>
            </w:pPr>
            <w:r w:rsidRPr="003C01AF">
              <w:t>specific enterprise processes, policies and procedures to be followed</w:t>
            </w:r>
          </w:p>
          <w:p w:rsidR="00000000" w:rsidRPr="003C01AF" w:rsidP="003C01AF">
            <w:pPr>
              <w:pStyle w:val="ListBullet2"/>
            </w:pPr>
            <w:r w:rsidRPr="003C01AF">
              <w:t xml:space="preserve">processes of consultation, negotiation and coordination - clear and </w:t>
            </w:r>
            <w:r w:rsidRPr="003C01AF">
              <w:t>concise instructions and information, methods for the encouragement of feedback and contributions of information and ideas, and responsibilities of members of the team</w:t>
            </w:r>
          </w:p>
          <w:p w:rsidR="00000000" w:rsidRPr="003C01AF" w:rsidP="003C01AF">
            <w:pPr>
              <w:pStyle w:val="ListBullet2"/>
            </w:pPr>
            <w:r w:rsidRPr="003C01AF">
              <w:t>techniques in analysing, planning, coordinating and organising work for a safe outcome a</w:t>
            </w:r>
            <w:r w:rsidRPr="003C01AF">
              <w:t>ccording to statutory requirements and regulations</w:t>
            </w:r>
          </w:p>
          <w:p w:rsidR="00000000" w:rsidRPr="003C01AF" w:rsidP="003C01AF">
            <w:pPr>
              <w:pStyle w:val="ListBullet2"/>
            </w:pPr>
            <w:r w:rsidRPr="003C01AF">
              <w:t>techniques in the effective utilisation of available resources</w:t>
            </w:r>
          </w:p>
          <w:p w:rsidR="00000000" w:rsidRPr="003C01AF" w:rsidP="003C01AF">
            <w:pPr>
              <w:pStyle w:val="ListBullet2"/>
            </w:pPr>
            <w:r w:rsidRPr="003C01AF">
              <w:t>techniques in the development of an access authority/permit and/or access authority/permit issuing procedures</w:t>
            </w:r>
          </w:p>
          <w:p w:rsidR="00000000" w:rsidRPr="003C01AF" w:rsidP="003C01AF">
            <w:pPr>
              <w:pStyle w:val="ListBullet2"/>
            </w:pPr>
            <w:r w:rsidRPr="003C01AF">
              <w:t>techniques in facilitating and c</w:t>
            </w:r>
            <w:r w:rsidRPr="003C01AF">
              <w:t>oordinating the delivery and issuing of access authorities</w:t>
            </w:r>
          </w:p>
          <w:p w:rsidR="00000000" w:rsidRPr="003C01AF" w:rsidP="003C01AF">
            <w:pPr>
              <w:pStyle w:val="ListBullet2"/>
            </w:pPr>
            <w:r w:rsidRPr="003C01AF">
              <w:t>techniques in gathering, collating and confirming data on different worksites - electrical network diagrams fo</w:t>
            </w:r>
            <w:r w:rsidRPr="003C01AF">
              <w:t xml:space="preserve">r the specific worksite, earth access authorities, safe working area, work to be carried out in confined space or in hazardous environment, specific outsourcing procedures, specific hazard identification, risk classification and management procedures, and </w:t>
            </w:r>
            <w:r w:rsidRPr="003C01AF">
              <w:t>regulatory requirements such WHS/OHS and electrical safety</w:t>
            </w:r>
          </w:p>
          <w:p w:rsidR="00000000" w:rsidRPr="003C01AF" w:rsidP="003C01AF">
            <w:pPr>
              <w:pStyle w:val="ListBullet2"/>
            </w:pPr>
            <w:r w:rsidRPr="003C01AF">
              <w:t>techniques in receiving and coordinating the cancellation of access authorities in readiness for restoration</w:t>
            </w:r>
          </w:p>
          <w:p w:rsidR="00000000" w:rsidRPr="003C01AF" w:rsidP="003C01AF">
            <w:pPr>
              <w:pStyle w:val="ListBullet2"/>
            </w:pPr>
            <w:r w:rsidRPr="003C01AF">
              <w:t>methods of conducting audits on correct access authority procedures</w:t>
            </w:r>
          </w:p>
          <w:p w:rsidR="00000000" w:rsidRPr="003C01AF" w:rsidP="003C01AF">
            <w:pPr>
              <w:pStyle w:val="ListBullet2"/>
            </w:pPr>
            <w:r w:rsidRPr="003C01AF">
              <w:t>process of issuing o</w:t>
            </w:r>
            <w:r w:rsidRPr="003C01AF">
              <w:t>f other access authorities for work permits - working in confined space, if required, coordination of access authorities, and engaging and briefing contractors on electrical and other work</w:t>
            </w:r>
          </w:p>
          <w:p w:rsidR="00000000" w:rsidRPr="003C01AF" w:rsidP="003C01AF">
            <w:pPr>
              <w:pStyle w:val="ListBullet2"/>
            </w:pPr>
            <w:r w:rsidRPr="003C01AF">
              <w:t>issue and receipt of operating agreements</w:t>
            </w:r>
          </w:p>
          <w:p w:rsidR="00000000" w:rsidRPr="003C01AF" w:rsidP="003C01AF">
            <w:pPr>
              <w:pStyle w:val="ListBullet"/>
            </w:pPr>
            <w:r w:rsidRPr="003C01AF">
              <w:t>implementation and monit</w:t>
            </w:r>
            <w:r w:rsidRPr="003C01AF">
              <w:t>oring requirements for the impact of powerline installations and operation on the environment and/or the area surrounding the powerline and/or equipment encompassing:</w:t>
            </w:r>
          </w:p>
          <w:p w:rsidR="00000000" w:rsidRPr="003C01AF" w:rsidP="003C01AF">
            <w:pPr>
              <w:pStyle w:val="ListBullet2"/>
            </w:pPr>
            <w:r w:rsidRPr="003C01AF">
              <w:t>identification of relevant legislation, codes and government guidelines for the implemen</w:t>
            </w:r>
            <w:r w:rsidRPr="003C01AF">
              <w:t>tation and monitoring of environmental impact factors in the workplace and areas of power distribution or transmission - Commonwealth/state/territory legislation relevant to the workplace and the Environment Protection Act legislation and common law</w:t>
            </w:r>
          </w:p>
          <w:p w:rsidR="00000000" w:rsidRPr="003C01AF" w:rsidP="003C01AF">
            <w:pPr>
              <w:pStyle w:val="ListBullet2"/>
            </w:pPr>
            <w:r w:rsidRPr="003C01AF">
              <w:t>identi</w:t>
            </w:r>
            <w:r w:rsidRPr="003C01AF">
              <w:t xml:space="preserve">fication, assessment, control and monitoring of the hazards to the environment </w:t>
            </w:r>
            <w:r w:rsidRPr="003C01AF">
              <w:t>associated with the powerline industry</w:t>
            </w:r>
          </w:p>
          <w:p w:rsidR="00000000" w:rsidRPr="003C01AF" w:rsidP="003C01AF">
            <w:pPr>
              <w:pStyle w:val="ListBullet2"/>
            </w:pPr>
            <w:r w:rsidRPr="003C01AF">
              <w:t>workplace environment quality standards enterprise plan - setting of acceptable emission level limits from power plant equipment, impact o</w:t>
            </w:r>
            <w:r w:rsidRPr="003C01AF">
              <w:t>f the enterprise activities on air and water quality, nature, impact and level of emissions from power plant, power distribution and transmission equipment and network infrastructure (noise generation, noxious gas emissions, greenhouse gas production, elec</w:t>
            </w:r>
            <w:r w:rsidRPr="003C01AF">
              <w:t>tromagnetic emissions, electromagnetic field strength, oil leakage and insulation breakdown products)</w:t>
            </w:r>
          </w:p>
          <w:p w:rsidR="00000000" w:rsidRPr="003C01AF" w:rsidP="003C01AF">
            <w:pPr>
              <w:pStyle w:val="ListBullet2"/>
            </w:pPr>
            <w:r w:rsidRPr="003C01AF">
              <w:t>provision of manufacturer and supplier information, such as material safety data sheets (MSDS)</w:t>
            </w:r>
          </w:p>
          <w:p w:rsidR="00000000" w:rsidRPr="003C01AF" w:rsidP="003C01AF">
            <w:pPr>
              <w:pStyle w:val="ListBullet2"/>
            </w:pPr>
            <w:r w:rsidRPr="003C01AF">
              <w:t>gathering of environment management information</w:t>
            </w:r>
          </w:p>
          <w:p w:rsidR="00000000" w:rsidRPr="003C01AF" w:rsidP="003C01AF">
            <w:pPr>
              <w:pStyle w:val="ListBullet2"/>
            </w:pPr>
            <w:r w:rsidRPr="003C01AF">
              <w:t>maintenance</w:t>
            </w:r>
            <w:r w:rsidRPr="003C01AF">
              <w:t xml:space="preserve"> of environmental records</w:t>
            </w:r>
          </w:p>
          <w:p w:rsidR="00000000" w:rsidRPr="003C01AF" w:rsidP="003C01AF">
            <w:pPr>
              <w:pStyle w:val="ListBullet2"/>
            </w:pPr>
            <w:r w:rsidRPr="003C01AF">
              <w:t>risk assessment and its management in powerline industry</w:t>
            </w:r>
          </w:p>
          <w:p w:rsidR="00000000" w:rsidRPr="003C01AF" w:rsidP="003C01AF">
            <w:pPr>
              <w:pStyle w:val="ListBullet2"/>
            </w:pPr>
            <w:r w:rsidRPr="003C01AF">
              <w:t>maintenance strategies for environment protection programs - developing processes for promoting, maintaining and improving environmental impact in the workplace; and identif</w:t>
            </w:r>
            <w:r w:rsidRPr="003C01AF">
              <w:t>ying techniques for evaluating and reviewing environment protection education and training programs and elements of an effective environment protection management system; Environment Protection Authority (EPA) consultation and accident/incident investigati</w:t>
            </w:r>
            <w:r w:rsidRPr="003C01AF">
              <w:t>ons</w:t>
            </w:r>
          </w:p>
          <w:p w:rsidR="00000000" w:rsidRPr="003C01AF" w:rsidP="003C01AF">
            <w:pPr>
              <w:pStyle w:val="ListBullet"/>
            </w:pPr>
            <w:r w:rsidRPr="003C01AF">
              <w:t>principles of statutory and safety considerations encompassing:</w:t>
            </w:r>
          </w:p>
          <w:p w:rsidR="00000000" w:rsidRPr="003C01AF" w:rsidP="003C01AF">
            <w:pPr>
              <w:pStyle w:val="ListBullet2"/>
            </w:pPr>
            <w:r w:rsidRPr="003C01AF">
              <w:t>Commonwealth/state/territory legislation, standards, codes, supply authority regulations and/or enterprise requirements associated with working on HV</w:t>
            </w:r>
          </w:p>
          <w:p w:rsidR="00000000" w:rsidRPr="003C01AF" w:rsidP="003C01AF">
            <w:pPr>
              <w:pStyle w:val="ListBullet2"/>
            </w:pPr>
            <w:r w:rsidRPr="003C01AF">
              <w:t>particular reference to state and territory regulations regarding - working near energised conductors, electrical access, heights, confined space, testing procedures and licensing rules</w:t>
            </w:r>
          </w:p>
          <w:p w:rsidR="00000000" w:rsidRPr="003C01AF" w:rsidP="003C01AF">
            <w:pPr>
              <w:pStyle w:val="ListBullet"/>
            </w:pPr>
            <w:r w:rsidRPr="003C01AF">
              <w:t>HV system switching principles, including switching authorisation pro</w:t>
            </w:r>
            <w:r w:rsidRPr="003C01AF">
              <w:t>cedures encompassing:</w:t>
            </w:r>
          </w:p>
          <w:p w:rsidR="00000000" w:rsidRPr="003C01AF" w:rsidP="003C01AF">
            <w:pPr>
              <w:pStyle w:val="ListBullet2"/>
            </w:pPr>
            <w:r w:rsidRPr="003C01AF">
              <w:t>legislation, standards, codes, supply authority regulations and/or enterprise requirements applicable to system switching</w:t>
            </w:r>
          </w:p>
          <w:p w:rsidR="00000000" w:rsidRPr="003C01AF" w:rsidP="003C01AF">
            <w:pPr>
              <w:pStyle w:val="ListBullet2"/>
            </w:pPr>
            <w:r w:rsidRPr="003C01AF">
              <w:t>requirements for the use of manuals, system diagrams/plans and drawings</w:t>
            </w:r>
          </w:p>
          <w:p w:rsidR="00000000" w:rsidRPr="003C01AF" w:rsidP="003C01AF">
            <w:pPr>
              <w:pStyle w:val="ListBullet2"/>
            </w:pPr>
            <w:r w:rsidRPr="003C01AF">
              <w:t>types and characteristics of HV systems</w:t>
            </w:r>
            <w:r w:rsidRPr="003C01AF">
              <w:t xml:space="preserve"> and equipment to be switched</w:t>
            </w:r>
          </w:p>
          <w:p w:rsidR="00000000" w:rsidRPr="003C01AF" w:rsidP="003C01AF">
            <w:pPr>
              <w:pStyle w:val="ListBullet2"/>
            </w:pPr>
            <w:r w:rsidRPr="003C01AF">
              <w:t>procedures for obtaining correct HV switching authorisation - identification of WHS/OHS hazards, assessing and controlling risks, safety procedures and precautions, and safe approach distances (SAD)</w:t>
            </w:r>
          </w:p>
          <w:p w:rsidR="00000000" w:rsidRPr="003C01AF" w:rsidP="003C01AF">
            <w:pPr>
              <w:pStyle w:val="ListBullet2"/>
            </w:pPr>
            <w:r w:rsidRPr="003C01AF">
              <w:t>responsibilities and protoc</w:t>
            </w:r>
            <w:r w:rsidRPr="003C01AF">
              <w:t>ols for identifying switching resources, procedures for obtaining electrical access permits authorities, requirements for team switching and procedures for coordination of operations</w:t>
            </w:r>
          </w:p>
          <w:p w:rsidR="00000000" w:rsidRPr="003C01AF" w:rsidP="003C01AF">
            <w:pPr>
              <w:pStyle w:val="ListBullet2"/>
            </w:pPr>
            <w:r w:rsidRPr="003C01AF">
              <w:t>techniques in HV system switching - pre-switching checks, switching opera</w:t>
            </w:r>
            <w:r w:rsidRPr="003C01AF">
              <w:t>tional procedures, isolation procedures and proving dead de-energised, earthing procedures, switching operational procedures, emergency fault procedures and energisation procedures</w:t>
            </w:r>
          </w:p>
          <w:p w:rsidR="00000000" w:rsidRPr="003C01AF" w:rsidP="003C01AF">
            <w:pPr>
              <w:pStyle w:val="ListBullet"/>
            </w:pPr>
            <w:r w:rsidRPr="003C01AF">
              <w:t>low voltage (LV) system switching principles, including switching authoris</w:t>
            </w:r>
            <w:r w:rsidRPr="003C01AF">
              <w:t>ation procedures, encompassing:</w:t>
            </w:r>
          </w:p>
          <w:p w:rsidR="00000000" w:rsidRPr="003C01AF" w:rsidP="003C01AF">
            <w:pPr>
              <w:pStyle w:val="ListBullet2"/>
            </w:pPr>
            <w:r w:rsidRPr="003C01AF">
              <w:t>legislation, standards, codes, supply authority regulations and/or enterprise requirements applicable to system switching</w:t>
            </w:r>
          </w:p>
          <w:p w:rsidR="00000000" w:rsidRPr="003C01AF" w:rsidP="003C01AF">
            <w:pPr>
              <w:pStyle w:val="ListBullet2"/>
            </w:pPr>
            <w:r w:rsidRPr="003C01AF">
              <w:t>requirements for the use of manuals, system diagrams/plans and drawings</w:t>
            </w:r>
          </w:p>
          <w:p w:rsidR="00000000" w:rsidRPr="003C01AF" w:rsidP="003C01AF">
            <w:pPr>
              <w:pStyle w:val="ListBullet2"/>
            </w:pPr>
            <w:r w:rsidRPr="003C01AF">
              <w:t xml:space="preserve">types and characteristics of </w:t>
            </w:r>
            <w:r w:rsidRPr="003C01AF">
              <w:t>LV systems and equipment to be switched</w:t>
            </w:r>
          </w:p>
          <w:p w:rsidR="00000000" w:rsidRPr="003C01AF" w:rsidP="003C01AF">
            <w:pPr>
              <w:pStyle w:val="ListBullet2"/>
            </w:pPr>
            <w:r w:rsidRPr="003C01AF">
              <w:t>procedures for obtaining correct LV switching authorisation - identification of WHS/OHS hazards, assessing and controlling risks, safety procedures and precautions, SAD, responsibilities and protocols, identifying switching resources, procedures for obtain</w:t>
            </w:r>
            <w:r w:rsidRPr="003C01AF">
              <w:t>ing electrical access permits authorities, requirements for team switching and procedures for coordination of operations</w:t>
            </w:r>
          </w:p>
          <w:p w:rsidR="00000000" w:rsidRPr="003C01AF" w:rsidP="003C01AF">
            <w:pPr>
              <w:pStyle w:val="ListBullet2"/>
            </w:pPr>
            <w:r w:rsidRPr="003C01AF">
              <w:t>techniques in LV system switching - isolation procedures and proving dead, earthing procedures, pre-switching checks, switching operati</w:t>
            </w:r>
            <w:r w:rsidRPr="003C01AF">
              <w:t>onal procedures, emergency fault procedures and energisation procedures</w:t>
            </w:r>
          </w:p>
          <w:p w:rsidR="00000000" w:rsidRPr="003C01AF" w:rsidP="003C01AF">
            <w:pPr>
              <w:pStyle w:val="ListBullet"/>
            </w:pPr>
            <w:r w:rsidRPr="003C01AF">
              <w:t>coordinating and directing switching instructions encompassing:</w:t>
            </w:r>
          </w:p>
          <w:p w:rsidR="00000000" w:rsidRPr="003C01AF" w:rsidP="003C01AF">
            <w:pPr>
              <w:pStyle w:val="ListBullet2"/>
            </w:pPr>
            <w:r w:rsidRPr="003C01AF">
              <w:t>legislation, standards, codes, supply authority regulations and/or enterprise requirements applicable to switching she</w:t>
            </w:r>
            <w:r w:rsidRPr="003C01AF">
              <w:t>et instructions</w:t>
            </w:r>
          </w:p>
          <w:p w:rsidR="00000000" w:rsidRPr="003C01AF" w:rsidP="003C01AF">
            <w:pPr>
              <w:pStyle w:val="ListBullet2"/>
            </w:pPr>
            <w:r w:rsidRPr="003C01AF">
              <w:t>specific enterprise processes, policies and procedures to be followed</w:t>
            </w:r>
          </w:p>
          <w:p w:rsidR="00000000" w:rsidRPr="003C01AF" w:rsidP="003C01AF">
            <w:pPr>
              <w:pStyle w:val="ListBullet2"/>
            </w:pPr>
            <w:r w:rsidRPr="003C01AF">
              <w:t>processes of consultation, negotiation and coordination - clear and concise instructions and information, methods for the encouragement of feedback and contributions of i</w:t>
            </w:r>
            <w:r w:rsidRPr="003C01AF">
              <w:t>nformation and ideas, and responsibilities of members of the team</w:t>
            </w:r>
          </w:p>
          <w:p w:rsidR="00000000" w:rsidRPr="003C01AF" w:rsidP="003C01AF">
            <w:pPr>
              <w:pStyle w:val="ListBullet2"/>
            </w:pPr>
            <w:r w:rsidRPr="003C01AF">
              <w:t>techniques in analysing, planning, coordinating and organising work for a safe outcome according to statutory requirements and regulations</w:t>
            </w:r>
          </w:p>
          <w:p w:rsidR="00000000" w:rsidRPr="003C01AF" w:rsidP="003C01AF">
            <w:pPr>
              <w:pStyle w:val="ListBullet2"/>
            </w:pPr>
            <w:r w:rsidRPr="003C01AF">
              <w:t>techniques in the effective utilisation of availabl</w:t>
            </w:r>
            <w:r w:rsidRPr="003C01AF">
              <w:t>e resources</w:t>
            </w:r>
          </w:p>
          <w:p w:rsidR="00000000" w:rsidRPr="003C01AF" w:rsidP="003C01AF">
            <w:pPr>
              <w:pStyle w:val="ListBullet2"/>
            </w:pPr>
            <w:r w:rsidRPr="003C01AF">
              <w:t>techniques in the coordination and directing of switching schedules instructions</w:t>
            </w:r>
          </w:p>
          <w:p w:rsidR="00000000" w:rsidRPr="003C01AF" w:rsidP="003C01AF">
            <w:pPr>
              <w:pStyle w:val="ListBullet2"/>
            </w:pPr>
            <w:r w:rsidRPr="003C01AF">
              <w:t>relationship between the operating authorities and HV customers, and operating agreements</w:t>
            </w:r>
          </w:p>
          <w:p w:rsidR="00000000" w:rsidRPr="003C01AF" w:rsidP="003C01AF">
            <w:pPr>
              <w:pStyle w:val="ListBullet2"/>
            </w:pPr>
            <w:r w:rsidRPr="003C01AF">
              <w:t>techniques in coordinating and directing HV and LV switching of electrica</w:t>
            </w:r>
            <w:r w:rsidRPr="003C01AF">
              <w:t>l networks</w:t>
            </w:r>
          </w:p>
          <w:p w:rsidR="00000000" w:rsidRPr="003C01AF" w:rsidP="003C01AF">
            <w:pPr>
              <w:pStyle w:val="ListBullet2"/>
            </w:pPr>
            <w:r w:rsidRPr="003C01AF">
              <w:t>requirements for the use of manuals, system diagrams/plans and drawings - types, characteristics and capabilities of LV and HV electrical equipment to be switched</w:t>
            </w:r>
          </w:p>
          <w:p w:rsidR="00000000" w:rsidRPr="003C01AF" w:rsidP="003C01AF">
            <w:pPr>
              <w:pStyle w:val="ListBullet2"/>
            </w:pPr>
            <w:r w:rsidRPr="003C01AF">
              <w:t>responsibilities of the switching operator</w:t>
            </w:r>
          </w:p>
          <w:p w:rsidR="00000000" w:rsidRPr="003C01AF" w:rsidP="003C01AF">
            <w:pPr>
              <w:pStyle w:val="ListBullet2"/>
            </w:pPr>
            <w:r w:rsidRPr="003C01AF">
              <w:t>techniques in writing switching instruc</w:t>
            </w:r>
            <w:r w:rsidRPr="003C01AF">
              <w:t>tions - sequence of switching operations, isolation procedures, earthing procedures and switching completion notification procedures</w:t>
            </w:r>
          </w:p>
          <w:p w:rsidR="00000000" w:rsidRPr="003C01AF" w:rsidP="003C01AF">
            <w:pPr>
              <w:pStyle w:val="ListBullet2"/>
            </w:pPr>
            <w:r w:rsidRPr="003C01AF">
              <w:t>techniques in gathering, collating and confirming data on switching procedures</w:t>
            </w:r>
          </w:p>
          <w:p w:rsidR="00000000" w:rsidRPr="003C01AF" w:rsidP="003C01AF">
            <w:pPr>
              <w:pStyle w:val="ListBullet"/>
            </w:pPr>
            <w:r w:rsidRPr="003C01AF">
              <w:t>HV overhead and substation switching principles encompassing:</w:t>
            </w:r>
          </w:p>
          <w:p w:rsidR="00000000" w:rsidRPr="003C01AF" w:rsidP="003C01AF">
            <w:pPr>
              <w:pStyle w:val="ListBullet2"/>
            </w:pPr>
            <w:r w:rsidRPr="003C01AF">
              <w:t>legislation, standards, codes, supply authority regulations and/or enterprise requirements applicable to HV overhead and substation switching</w:t>
            </w:r>
          </w:p>
          <w:p w:rsidR="00000000" w:rsidRPr="003C01AF" w:rsidP="003C01AF">
            <w:pPr>
              <w:pStyle w:val="ListBullet2"/>
            </w:pPr>
            <w:r w:rsidRPr="003C01AF">
              <w:t>requirements for the use of manuals, system diagram</w:t>
            </w:r>
            <w:r w:rsidRPr="003C01AF">
              <w:t>s/plans and drawings - types, characteristics and capabilities of HV electrical equipment to be switched; use, characteristics and capabilities of specialised tools and testing equipment</w:t>
            </w:r>
          </w:p>
          <w:p w:rsidR="00000000" w:rsidRPr="003C01AF" w:rsidP="003C01AF">
            <w:pPr>
              <w:pStyle w:val="ListBullet2"/>
            </w:pPr>
            <w:r w:rsidRPr="003C01AF">
              <w:t>role and responsibilities of the HV switching operator</w:t>
            </w:r>
          </w:p>
          <w:p w:rsidR="00000000" w:rsidRPr="003C01AF" w:rsidP="003C01AF">
            <w:pPr>
              <w:pStyle w:val="ListBullet2"/>
            </w:pPr>
            <w:r w:rsidRPr="003C01AF">
              <w:t>operational fo</w:t>
            </w:r>
            <w:r w:rsidRPr="003C01AF">
              <w:t xml:space="preserve">rms, access authorities and permits hazard/risk assessments associated with HV switching - types of operational forms, access authorities and permits; hazard/risk assessments, purpose and procedure for operational forms; access authorities and hazard/risk </w:t>
            </w:r>
            <w:r w:rsidRPr="003C01AF">
              <w:t>assessments</w:t>
            </w:r>
          </w:p>
          <w:p w:rsidR="00000000" w:rsidRPr="003C01AF" w:rsidP="003C01AF">
            <w:pPr>
              <w:pStyle w:val="ListBullet2"/>
            </w:pPr>
            <w:r w:rsidRPr="003C01AF">
              <w:t>use and operation of equipment associated with HV overhead and substation equipment - test instruments, sticks, interrupters and arc stranglers</w:t>
            </w:r>
          </w:p>
          <w:p w:rsidR="00000000" w:rsidRPr="003C01AF" w:rsidP="003C01AF">
            <w:pPr>
              <w:pStyle w:val="ListBullet2"/>
            </w:pPr>
            <w:r w:rsidRPr="003C01AF">
              <w:t>HV switchgear – types, categories, application and operating capabilities</w:t>
            </w:r>
          </w:p>
          <w:p w:rsidR="00000000" w:rsidRPr="003C01AF" w:rsidP="003C01AF">
            <w:pPr>
              <w:pStyle w:val="ListBullet2"/>
            </w:pPr>
            <w:r w:rsidRPr="003C01AF">
              <w:t>operation of HV overhead s</w:t>
            </w:r>
            <w:r w:rsidRPr="003C01AF">
              <w:t>witching or indicating devices - fuses, disconnect fuses, load switching, live line indicators, capacitors, reclosers, sectionalisers, underslung links, airbreaks switches, disconnects, live line clamps, phasing sticks and phasing tester</w:t>
            </w:r>
          </w:p>
          <w:p w:rsidR="00000000" w:rsidRPr="003C01AF" w:rsidP="003C01AF">
            <w:pPr>
              <w:pStyle w:val="ListBullet2"/>
            </w:pPr>
            <w:r w:rsidRPr="003C01AF">
              <w:t>operation of prote</w:t>
            </w:r>
            <w:r w:rsidRPr="003C01AF">
              <w:t>ction systems and substation equipment - fault levels and settings; types and applications; protection systems and substation equipment fault levels and settings; types and applications</w:t>
            </w:r>
          </w:p>
          <w:p w:rsidR="00000000" w:rsidRPr="003C01AF" w:rsidP="003C01AF">
            <w:pPr>
              <w:pStyle w:val="ListBullet2"/>
            </w:pPr>
            <w:r w:rsidRPr="003C01AF">
              <w:t>restrictions pertaining to HV switching equipment</w:t>
            </w:r>
          </w:p>
          <w:p w:rsidR="00000000" w:rsidRPr="003C01AF" w:rsidP="003C01AF">
            <w:pPr>
              <w:pStyle w:val="ListBullet2"/>
            </w:pPr>
            <w:r w:rsidRPr="003C01AF">
              <w:t>procedures for the i</w:t>
            </w:r>
            <w:r w:rsidRPr="003C01AF">
              <w:t>solation of HV mains and working earths - earthing HV electrical apparatus practices and procedures for access authority issuing, and HV switching techniques</w:t>
            </w:r>
          </w:p>
          <w:p w:rsidR="00000000" w:rsidRPr="003C01AF" w:rsidP="003C01AF">
            <w:pPr>
              <w:pStyle w:val="ListBullet2"/>
            </w:pPr>
            <w:r w:rsidRPr="003C01AF">
              <w:t>operate switching apparatus - identifying hazards, assessing and controlling risks associated with</w:t>
            </w:r>
            <w:r w:rsidRPr="003C01AF">
              <w:t xml:space="preserve"> HV switchgear operation, systematic and defensive techniques, mobile radio procedures and double isolation procedures</w:t>
            </w:r>
          </w:p>
          <w:p w:rsidR="00000000" w:rsidRPr="003C01AF" w:rsidP="003C01AF">
            <w:pPr>
              <w:pStyle w:val="ListBullet"/>
            </w:pPr>
            <w:r w:rsidRPr="003C01AF">
              <w:t>LV overhead and substation switching principles encompassing:</w:t>
            </w:r>
          </w:p>
          <w:p w:rsidR="00000000" w:rsidRPr="003C01AF" w:rsidP="003C01AF">
            <w:pPr>
              <w:pStyle w:val="ListBullet2"/>
            </w:pPr>
            <w:r w:rsidRPr="003C01AF">
              <w:t>legislation, standards, codes, supply authority regulations and/or enterprise requirements applicable to LV overhead and substation switching</w:t>
            </w:r>
          </w:p>
          <w:p w:rsidR="00000000" w:rsidRPr="003C01AF" w:rsidP="003C01AF">
            <w:pPr>
              <w:pStyle w:val="ListBullet2"/>
            </w:pPr>
            <w:r w:rsidRPr="003C01AF">
              <w:t xml:space="preserve">requirements for the use of manuals, system diagrams/plans and drawings - types, characteristics and capabilities </w:t>
            </w:r>
            <w:r w:rsidRPr="003C01AF">
              <w:t>of LV electrical equipment to be switched; use, characteristics and capabilities of specialised tools and testing equipment; and role and responsibilities of the LV switching operator</w:t>
            </w:r>
          </w:p>
          <w:p w:rsidR="00000000" w:rsidRPr="003C01AF" w:rsidP="003C01AF">
            <w:pPr>
              <w:pStyle w:val="ListBullet2"/>
            </w:pPr>
            <w:r w:rsidRPr="003C01AF">
              <w:t>operational forms, access authorities and hazard/risk assessments associ</w:t>
            </w:r>
            <w:r w:rsidRPr="003C01AF">
              <w:t>ated with HV switching - types of operational forms, access authorities and hazard/risk assessments, purpose and procedure for operational forms, access authorities and hazard/risk assessments</w:t>
            </w:r>
          </w:p>
          <w:p w:rsidR="00000000" w:rsidRPr="003C01AF" w:rsidP="003C01AF">
            <w:pPr>
              <w:pStyle w:val="ListBullet2"/>
            </w:pPr>
            <w:r w:rsidRPr="003C01AF">
              <w:t xml:space="preserve">use and operation of equipment associated with LV overhead and </w:t>
            </w:r>
            <w:r w:rsidRPr="003C01AF">
              <w:t>substation equipment - test instruments, sticks, interrupters and arc stranglers</w:t>
            </w:r>
          </w:p>
          <w:p w:rsidR="00000000" w:rsidRPr="003C01AF" w:rsidP="003C01AF">
            <w:pPr>
              <w:pStyle w:val="ListBullet2"/>
            </w:pPr>
            <w:r w:rsidRPr="003C01AF">
              <w:t>LV switchgear – types, categories, application and operating capabilities</w:t>
            </w:r>
          </w:p>
          <w:p w:rsidR="00000000" w:rsidRPr="003C01AF" w:rsidP="003C01AF">
            <w:pPr>
              <w:pStyle w:val="ListBullet2"/>
            </w:pPr>
            <w:r w:rsidRPr="003C01AF">
              <w:t>operation of LV overhead switching or indicating devices - fuses, disconnect fuses, load switching, u</w:t>
            </w:r>
            <w:r w:rsidRPr="003C01AF">
              <w:t>nderslung links, airbreak switches, disconnects, live line clamps, phasing sticks and phasing tester</w:t>
            </w:r>
          </w:p>
          <w:p w:rsidR="00000000" w:rsidRPr="003C01AF" w:rsidP="003C01AF">
            <w:pPr>
              <w:pStyle w:val="ListBullet2"/>
            </w:pPr>
            <w:r w:rsidRPr="003C01AF">
              <w:t>operation of protection systems and substation equipment - fault levels and settings; types and applications, protection systems and substation equipment f</w:t>
            </w:r>
            <w:r w:rsidRPr="003C01AF">
              <w:t>ault levels and settings; types and applications</w:t>
            </w:r>
          </w:p>
          <w:p w:rsidR="00000000" w:rsidRPr="003C01AF" w:rsidP="003C01AF">
            <w:pPr>
              <w:pStyle w:val="ListBullet2"/>
            </w:pPr>
            <w:r w:rsidRPr="003C01AF">
              <w:t>restrictions pertaining to LV switching equipment</w:t>
            </w:r>
          </w:p>
          <w:p w:rsidR="00000000" w:rsidRPr="003C01AF" w:rsidP="003C01AF">
            <w:pPr>
              <w:pStyle w:val="ListBullet2"/>
            </w:pPr>
            <w:r w:rsidRPr="003C01AF">
              <w:t>procedures for the isolation of LV distributions main and working earths</w:t>
            </w:r>
          </w:p>
          <w:p w:rsidR="00000000" w:rsidRPr="003C01AF" w:rsidP="003C01AF">
            <w:pPr>
              <w:pStyle w:val="ListBullet2"/>
            </w:pPr>
            <w:r w:rsidRPr="003C01AF">
              <w:t>earthing LV electrical apparatus practices and procedures for access authority issui</w:t>
            </w:r>
            <w:r w:rsidRPr="003C01AF">
              <w:t>ng</w:t>
            </w:r>
          </w:p>
          <w:p w:rsidR="00000000" w:rsidRPr="003C01AF" w:rsidP="003C01AF">
            <w:pPr>
              <w:pStyle w:val="ListBullet2"/>
            </w:pPr>
            <w:r w:rsidRPr="003C01AF">
              <w:t>LV switching techniques</w:t>
            </w:r>
          </w:p>
          <w:p w:rsidR="00000000" w:rsidRPr="003C01AF" w:rsidP="003C01AF">
            <w:pPr>
              <w:pStyle w:val="ListBullet2"/>
            </w:pPr>
            <w:r w:rsidRPr="003C01AF">
              <w:t>operate switching apparatus - identifying hazards, assessing and controlling risks associated with LV switchgear operation, systematic and defensive techniques, mobile radio procedures and double isolation procedures</w:t>
            </w:r>
          </w:p>
          <w:p w:rsidR="00000000" w:rsidRPr="003C01AF" w:rsidP="003C01AF">
            <w:pPr>
              <w:pStyle w:val="ListBullet"/>
            </w:pPr>
            <w:r w:rsidRPr="003C01AF">
              <w:t>enterprise-</w:t>
            </w:r>
            <w:r w:rsidRPr="003C01AF">
              <w:t>specific policies and procedure instructions encompassing:</w:t>
            </w:r>
          </w:p>
          <w:p w:rsidR="00000000" w:rsidRPr="003C01AF" w:rsidP="003C01AF">
            <w:pPr>
              <w:pStyle w:val="ListBullet2"/>
            </w:pPr>
            <w:r w:rsidRPr="003C01AF">
              <w:t>responsibilities and duty of care of employer and employee relationship</w:t>
            </w:r>
          </w:p>
          <w:p w:rsidR="00000000" w:rsidRPr="003C01AF" w:rsidP="003C01AF">
            <w:pPr>
              <w:pStyle w:val="ListBullet2"/>
            </w:pPr>
            <w:r w:rsidRPr="003C01AF">
              <w:t>methods of obtaining the up-to-date information on enterprise policies and procedures</w:t>
            </w:r>
          </w:p>
          <w:p w:rsidR="00000000" w:rsidRPr="003C01AF" w:rsidP="003C01AF">
            <w:pPr>
              <w:pStyle w:val="ListBullet2"/>
            </w:pPr>
            <w:r w:rsidRPr="003C01AF">
              <w:t>rules and regulations</w:t>
            </w:r>
          </w:p>
          <w:p w:rsidR="00000000" w:rsidRPr="003C01AF" w:rsidP="003C01AF">
            <w:pPr>
              <w:pStyle w:val="ListBullet2"/>
            </w:pPr>
            <w:r w:rsidRPr="003C01AF">
              <w:t>induction into workplace - location of work area and storage area, timetable, uniform, personal wellbeing, housekeeping rules, emergency procedures and evacuation procedures</w:t>
            </w:r>
          </w:p>
          <w:p w:rsidR="00000000" w:rsidRPr="003C01AF" w:rsidP="003C01AF">
            <w:pPr>
              <w:pStyle w:val="ListBullet2"/>
            </w:pPr>
            <w:r w:rsidRPr="003C01AF">
              <w:t>techniques when dealing with others - working in teams, customer relation, and com</w:t>
            </w:r>
            <w:r w:rsidRPr="003C01AF">
              <w:t>plaint and issues procedures</w:t>
            </w:r>
          </w:p>
          <w:p w:rsidR="00000000" w:rsidRPr="003C01AF" w:rsidP="003C01AF">
            <w:pPr>
              <w:pStyle w:val="ListBullet2"/>
            </w:pPr>
            <w:r w:rsidRPr="003C01AF">
              <w:t>overview of enterprise professional development - fire-fighting procedures, fatigue management, and training and competency development - understanding and promotion</w:t>
            </w:r>
          </w:p>
          <w:p w:rsidR="00000000" w:rsidRPr="003C01AF" w:rsidP="003C01AF">
            <w:pPr>
              <w:pStyle w:val="ListBullet"/>
            </w:pPr>
            <w:r w:rsidRPr="003C01AF">
              <w:t>enterprise-specific WHS/OHS instructions encompassing:</w:t>
            </w:r>
          </w:p>
          <w:p w:rsidR="00000000" w:rsidRPr="003C01AF" w:rsidP="003C01AF">
            <w:pPr>
              <w:pStyle w:val="ListBullet2"/>
            </w:pPr>
            <w:r w:rsidRPr="003C01AF">
              <w:t>stan</w:t>
            </w:r>
            <w:r w:rsidRPr="003C01AF">
              <w:t>dards, codes, legislation, supply authority regulations and specific enterprise regulations pertaining to WHS/OHS policies and procedures</w:t>
            </w:r>
          </w:p>
          <w:p w:rsidR="00000000" w:rsidRPr="003C01AF" w:rsidP="003C01AF">
            <w:pPr>
              <w:pStyle w:val="ListBullet2"/>
            </w:pPr>
            <w:r w:rsidRPr="003C01AF">
              <w:t>methods of obtaining the up-to-date information on enterprise OHS policies and procedures</w:t>
            </w:r>
          </w:p>
          <w:p w:rsidR="00000000" w:rsidRPr="003C01AF" w:rsidP="003C01AF">
            <w:pPr>
              <w:pStyle w:val="ListBullet2"/>
            </w:pPr>
            <w:r w:rsidRPr="003C01AF">
              <w:t>specific enterprise personal</w:t>
            </w:r>
            <w:r w:rsidRPr="003C01AF">
              <w:t xml:space="preserve"> protection equipment (PPE) - type and application; where and when to be used; method of replacement; responsibility of maintenance, including cleaning, inspection </w:t>
            </w:r>
            <w:r w:rsidRPr="003C01AF">
              <w:t>and testing; and emergency response, rescue, evacuation and first aid procedures</w:t>
            </w:r>
          </w:p>
          <w:p w:rsidR="00000000" w:rsidRPr="003C01AF" w:rsidP="003C01AF">
            <w:pPr>
              <w:pStyle w:val="ListBullet2"/>
            </w:pPr>
            <w:r w:rsidRPr="003C01AF">
              <w:t>personal we</w:t>
            </w:r>
            <w:r w:rsidRPr="003C01AF">
              <w:t>llbeing – hygiene, fatigue/stress management and drugs/alcohol</w:t>
            </w:r>
          </w:p>
          <w:p w:rsidR="00000000" w:rsidRPr="003C01AF" w:rsidP="003C01AF">
            <w:pPr>
              <w:pStyle w:val="ListBullet2"/>
            </w:pPr>
            <w:r w:rsidRPr="003C01AF">
              <w:t>WHS/OHS training - induction training, specific hazard training, specific task or equipment training, emergency and evacuation training, and training as part of broader programs such as equipme</w:t>
            </w:r>
            <w:r w:rsidRPr="003C01AF">
              <w:t>nt operation</w:t>
            </w:r>
          </w:p>
          <w:p w:rsidR="00000000" w:rsidRPr="003C01AF" w:rsidP="003C01AF">
            <w:pPr>
              <w:pStyle w:val="ListBullet2"/>
            </w:pPr>
            <w:r w:rsidRPr="003C01AF">
              <w:t>WHS/OHS records - audits; inspection reports; workplace health and environmental monitoring records; training and instruction records, manufacturer and supplier information, such as material safety data sheets (MSDS); registers; maintenance re</w:t>
            </w:r>
            <w:r w:rsidRPr="003C01AF">
              <w:t>ports; workers compensation and rehabilitation records; and first aid/medical records</w:t>
            </w:r>
          </w:p>
          <w:p w:rsidR="00000000" w:rsidRPr="003C01AF" w:rsidP="003C01AF">
            <w:pPr>
              <w:pStyle w:val="ListBullet"/>
            </w:pPr>
            <w:r w:rsidRPr="003C01AF">
              <w:t>effective management and communication encompassing:</w:t>
            </w:r>
          </w:p>
          <w:p w:rsidR="00000000" w:rsidRPr="003C01AF" w:rsidP="003C01AF">
            <w:pPr>
              <w:pStyle w:val="ListBullet2"/>
            </w:pPr>
            <w:r w:rsidRPr="003C01AF">
              <w:t>Commonwealth/state/territory and local government legislation, standards, codes, supply authority regulations and/o</w:t>
            </w:r>
            <w:r w:rsidRPr="003C01AF">
              <w:t>r enterprise requirements applicable to assisting in effective management and communication</w:t>
            </w:r>
          </w:p>
          <w:p w:rsidR="00000000" w:rsidRPr="003C01AF" w:rsidP="003C01AF">
            <w:pPr>
              <w:pStyle w:val="ListBullet2"/>
            </w:pPr>
            <w:r w:rsidRPr="003C01AF">
              <w:t>enterprise operational principles - workplace WHS/OHS enterprise plan, environmental enterprise policies and procedures, industrial relations policies and procedures, and anti-discrimination policies and procedures</w:t>
            </w:r>
          </w:p>
          <w:p w:rsidR="00000000" w:rsidRPr="003C01AF" w:rsidP="003C01AF">
            <w:pPr>
              <w:pStyle w:val="ListBullet2"/>
            </w:pPr>
            <w:r w:rsidRPr="003C01AF">
              <w:t>relationship between the management and e</w:t>
            </w:r>
            <w:r w:rsidRPr="003C01AF">
              <w:t>mployees - methods used to collate and distribute/disseminate information, responsibilities of each member of the work team, staff development activities and legislation requirements with regard to WHS/OHS training, methods of addressing barriers such as l</w:t>
            </w:r>
            <w:r w:rsidRPr="003C01AF">
              <w:t>iteracy and cultural differences, and provisions relating to WHS/OHS issue resolution</w:t>
            </w:r>
          </w:p>
          <w:p w:rsidR="00000000" w:rsidRPr="003C01AF" w:rsidP="003C01AF">
            <w:pPr>
              <w:pStyle w:val="ListBullet2"/>
            </w:pPr>
            <w:r w:rsidRPr="003C01AF">
              <w:t>techniques associated with organisational policies and procedures related to human resources - relevant awards and certified agreements, legislation impacting on people m</w:t>
            </w:r>
            <w:r w:rsidRPr="003C01AF">
              <w:t>anagement, and range of support services and expertise available</w:t>
            </w:r>
          </w:p>
          <w:p w:rsidR="00000000" w:rsidRPr="003C01AF" w:rsidP="003C01AF">
            <w:pPr>
              <w:pStyle w:val="ListBullet2"/>
            </w:pPr>
            <w:r w:rsidRPr="003C01AF">
              <w:t>techniques in managing relationships - identifying problems; methods of conflict resolution; methods of consultation, communication, negotiation and mentoring; and strategies for positive fee</w:t>
            </w:r>
            <w:r w:rsidRPr="003C01AF">
              <w:t>dback</w:t>
            </w:r>
          </w:p>
          <w:p w:rsidR="00000000" w:rsidRPr="003C01AF" w:rsidP="003C01AF">
            <w:pPr>
              <w:pStyle w:val="ListBullet2"/>
            </w:pPr>
            <w:r w:rsidRPr="003C01AF">
              <w:t>techniques in leadership in achieving enterprise strategic and operational plans</w:t>
            </w:r>
          </w:p>
          <w:p w:rsidR="00000000" w:rsidRPr="003C01AF" w:rsidP="003C01AF">
            <w:pPr>
              <w:pStyle w:val="ListBullet2"/>
            </w:pPr>
            <w:r w:rsidRPr="003C01AF">
              <w:t>techniques in managing relationships under stress - stress management.</w:t>
            </w:r>
          </w:p>
        </w:tc>
      </w:tr>
    </w:tbl>
    <w:p w:rsidR="00000000" w:rsidRPr="003C01AF" w:rsidP="003C01AF">
      <w:pPr>
        <w:pStyle w:val="NoPaddingFontSize1"/>
      </w:pPr>
    </w:p>
    <w:p w:rsidR="00000000" w:rsidRPr="003C01AF" w:rsidP="003C01AF">
      <w:pPr>
        <w:pStyle w:val="AllowPageBreak"/>
      </w:pPr>
    </w:p>
    <w:p w:rsidR="00000000" w:rsidRPr="003C01AF" w:rsidP="003C01AF">
      <w:pPr>
        <w:pStyle w:val="Heading1"/>
      </w:pPr>
      <w:bookmarkStart w:id="4" w:name="O_1005056"/>
      <w:bookmarkEnd w:id="4"/>
      <w:r w:rsidRPr="003C01AF">
        <w:t>Assessment Conditions</w:t>
      </w:r>
    </w:p>
    <w:tbl>
      <w:tblPr>
        <w:tblW w:w="9497" w:type="dxa"/>
        <w:tblLayout w:type="fixed"/>
        <w:tblCellMar>
          <w:left w:w="62" w:type="dxa"/>
          <w:right w:w="62" w:type="dxa"/>
        </w:tblCellMar>
        <w:tblLook w:val="0000"/>
      </w:tblPr>
      <w:tblGrid>
        <w:gridCol w:w="9497"/>
      </w:tblGrid>
      <w:tr w:rsidTr="003C0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1AF" w:rsidP="003C01AF">
            <w:pPr>
              <w:pStyle w:val="BodyText"/>
            </w:pPr>
            <w:r w:rsidRPr="003C01AF">
              <w:t>Assessors must hold credentials specified within the St</w:t>
            </w:r>
            <w:r w:rsidRPr="003C01AF">
              <w:t>andards for Registered Training Organisations current at the time of assessment.</w:t>
            </w:r>
          </w:p>
          <w:p w:rsidR="00000000" w:rsidRPr="003C01AF" w:rsidP="003C01AF">
            <w:pPr>
              <w:pStyle w:val="BodyText"/>
            </w:pPr>
            <w:r w:rsidRPr="003C01AF">
              <w:t xml:space="preserve">Assessment must satisfy the Principles of Assessment and Rules of Evidence and all regulatory requirements included within the Standards for Registered Training Organisations </w:t>
            </w:r>
            <w:r w:rsidRPr="003C01AF">
              <w:t>current at the time of assessment.</w:t>
            </w:r>
          </w:p>
          <w:p w:rsidR="00000000" w:rsidRPr="003C01AF" w:rsidP="003C01AF">
            <w:pPr>
              <w:pStyle w:val="BodyText"/>
            </w:pPr>
            <w:r w:rsidRPr="003C01AF">
              <w:t>Assessment must occur in workplace operational situations where it is appropriate to do so; where this is not appropriate, assessment must occur in simulated conditions involving realistic and authentic activities that re</w:t>
            </w:r>
            <w:r w:rsidRPr="003C01AF">
              <w:t>plicate operational workplace conditions.</w:t>
            </w:r>
          </w:p>
          <w:p w:rsidR="00000000" w:rsidRPr="003C01AF" w:rsidP="003C01AF">
            <w:pPr>
              <w:pStyle w:val="BodyText"/>
            </w:pPr>
            <w:r w:rsidRPr="003C01AF">
              <w:t>Assessment processes and techniques must be appropriate to the language, literacy and numeracy requirements of the work being performed and the needs of the candidate.</w:t>
            </w:r>
          </w:p>
          <w:p w:rsidR="00000000" w:rsidRPr="003C01AF" w:rsidP="003C01AF">
            <w:pPr>
              <w:pStyle w:val="BodyText"/>
            </w:pPr>
            <w:r w:rsidRPr="003C01AF">
              <w:t>Resources for assessment must include access to:</w:t>
            </w:r>
          </w:p>
          <w:p w:rsidR="00000000" w:rsidRPr="003C01AF" w:rsidP="003C01AF">
            <w:pPr>
              <w:pStyle w:val="ListBullet"/>
            </w:pPr>
            <w:r w:rsidRPr="003C01AF">
              <w:t>a range of relevant exercises, case studies and/or other simulations</w:t>
            </w:r>
          </w:p>
          <w:p w:rsidR="00000000" w:rsidRPr="003C01AF" w:rsidP="003C01AF">
            <w:pPr>
              <w:pStyle w:val="ListBullet"/>
            </w:pPr>
            <w:r w:rsidRPr="003C01AF">
              <w:t>relevant and appropriate materials, tools, facilities, equipment and PPE currently used in industry</w:t>
            </w:r>
          </w:p>
          <w:p w:rsidR="00000000" w:rsidRPr="003C01AF" w:rsidP="003C01AF">
            <w:pPr>
              <w:pStyle w:val="ListBullet"/>
            </w:pPr>
            <w:r w:rsidRPr="003C01AF">
              <w:t>applicable documentation, including w</w:t>
            </w:r>
            <w:r w:rsidRPr="003C01AF">
              <w:t>orkplace procedures, relevant industry standards, equipment specifications, regulations, codes of practice and operation manuals.</w:t>
            </w:r>
          </w:p>
        </w:tc>
      </w:tr>
    </w:tbl>
    <w:p w:rsidR="00000000" w:rsidRPr="003C01AF" w:rsidP="003C01AF">
      <w:pPr>
        <w:pStyle w:val="NoPaddingFontSize1"/>
      </w:pPr>
    </w:p>
    <w:p w:rsidR="00000000" w:rsidRPr="003C01AF" w:rsidP="003C01AF">
      <w:pPr>
        <w:pStyle w:val="AllowPageBreak"/>
      </w:pPr>
    </w:p>
    <w:p w:rsidR="00000000" w:rsidRPr="003C01AF" w:rsidP="003C01AF">
      <w:pPr>
        <w:pStyle w:val="Heading1"/>
      </w:pPr>
      <w:bookmarkStart w:id="5" w:name="O_1005059"/>
      <w:bookmarkEnd w:id="5"/>
      <w:r w:rsidRPr="003C01AF">
        <w:t>Links</w:t>
      </w:r>
    </w:p>
    <w:p w:rsidR="00000000" w:rsidRPr="003C01AF" w:rsidP="002B5B5D">
      <w:pPr>
        <w:pStyle w:val="BodyText"/>
      </w:pPr>
      <w:r w:rsidRPr="003C01A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676E8">
        <w:rPr>
          <w:rStyle w:val="Hyperlink"/>
        </w:rPr>
        <w:t>https://vetnet.gov.au/Pages/TrainingDocs.aspx?q=229bace1-b7bc-4653-9300-dffb13ecfad7</w:t>
      </w:r>
      <w:r>
        <w:fldChar w:fldCharType="end"/>
      </w:r>
    </w:p>
    <w:p w:rsidR="00000000" w:rsidRPr="003C01AF" w:rsidP="003C01AF"/>
    <w:sectPr w:rsidSect="003C01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AF" w:rsidRPr="002B5B5D" w:rsidP="002B5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5D" w:rsidP="003C0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5B5D" w:rsidP="003C01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5B5D" w:rsidP="003C0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1AF" w:rsidRPr="002B5B5D" w:rsidP="002B5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5D" w:rsidRPr="002D2AF8" w:rsidP="003C01AF">
    <w:pPr>
      <w:pStyle w:val="Header"/>
      <w:framePr w:wrap="around"/>
    </w:pPr>
    <w:r>
      <w:fldChar w:fldCharType="begin"/>
    </w:r>
    <w:r>
      <w:instrText xml:space="preserve"> TITLE   \* MERGEFORMAT </w:instrText>
    </w:r>
    <w:r>
      <w:fldChar w:fldCharType="separate"/>
    </w:r>
    <w:r>
      <w:t>Assessment Requirements for UETTDRSO46 Monitor and control the field staff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B5B5D" w:rsidP="003C0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EE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E1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626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1AF"/>
    <w:pPr>
      <w:spacing w:before="360" w:after="60"/>
      <w:outlineLvl w:val="0"/>
    </w:pPr>
    <w:rPr>
      <w:sz w:val="32"/>
    </w:rPr>
  </w:style>
  <w:style w:type="paragraph" w:styleId="Heading2">
    <w:name w:val="heading 2"/>
    <w:basedOn w:val="HeadingBase"/>
    <w:next w:val="BodyText"/>
    <w:link w:val="Heading2Char"/>
    <w:qFormat/>
    <w:rsid w:val="003C01AF"/>
    <w:pPr>
      <w:keepLines/>
      <w:spacing w:before="240" w:after="120"/>
      <w:outlineLvl w:val="1"/>
    </w:pPr>
    <w:rPr>
      <w:sz w:val="28"/>
      <w:szCs w:val="40"/>
    </w:rPr>
  </w:style>
  <w:style w:type="paragraph" w:styleId="Heading3">
    <w:name w:val="heading 3"/>
    <w:basedOn w:val="HeadingBase"/>
    <w:next w:val="BodyText"/>
    <w:link w:val="Heading3Char"/>
    <w:qFormat/>
    <w:rsid w:val="003C01AF"/>
    <w:pPr>
      <w:spacing w:before="180" w:after="120"/>
      <w:outlineLvl w:val="2"/>
    </w:pPr>
    <w:rPr>
      <w:spacing w:val="-10"/>
      <w:kern w:val="32"/>
    </w:rPr>
  </w:style>
  <w:style w:type="paragraph" w:styleId="Heading4">
    <w:name w:val="heading 4"/>
    <w:basedOn w:val="HeadingBase"/>
    <w:next w:val="BodyText"/>
    <w:link w:val="Heading4Char"/>
    <w:qFormat/>
    <w:rsid w:val="003C01AF"/>
    <w:pPr>
      <w:spacing w:before="160" w:after="120"/>
      <w:outlineLvl w:val="3"/>
    </w:pPr>
    <w:rPr>
      <w:sz w:val="22"/>
    </w:rPr>
  </w:style>
  <w:style w:type="paragraph" w:styleId="Heading5">
    <w:name w:val="heading 5"/>
    <w:basedOn w:val="HeadingBase"/>
    <w:next w:val="Normal"/>
    <w:link w:val="Heading5Char"/>
    <w:qFormat/>
    <w:rsid w:val="003C01AF"/>
    <w:pPr>
      <w:spacing w:before="80"/>
      <w:outlineLvl w:val="4"/>
    </w:pPr>
    <w:rPr>
      <w:color w:val="918585"/>
      <w:sz w:val="20"/>
    </w:rPr>
  </w:style>
  <w:style w:type="paragraph" w:styleId="Heading6">
    <w:name w:val="heading 6"/>
    <w:basedOn w:val="HeadingBase"/>
    <w:next w:val="Normal"/>
    <w:link w:val="Heading6Char"/>
    <w:qFormat/>
    <w:rsid w:val="003C01AF"/>
    <w:pPr>
      <w:spacing w:before="60"/>
      <w:outlineLvl w:val="5"/>
    </w:pPr>
    <w:rPr>
      <w:color w:val="918585"/>
      <w:sz w:val="20"/>
    </w:rPr>
  </w:style>
  <w:style w:type="paragraph" w:styleId="Heading7">
    <w:name w:val="heading 7"/>
    <w:basedOn w:val="Normal"/>
    <w:next w:val="Normal"/>
    <w:link w:val="Heading7Char"/>
    <w:qFormat/>
    <w:rsid w:val="003C01AF"/>
    <w:pPr>
      <w:ind w:left="720"/>
      <w:outlineLvl w:val="6"/>
    </w:pPr>
    <w:rPr>
      <w:i/>
    </w:rPr>
  </w:style>
  <w:style w:type="paragraph" w:styleId="Heading8">
    <w:name w:val="heading 8"/>
    <w:basedOn w:val="Normal"/>
    <w:next w:val="Normal"/>
    <w:link w:val="Heading8Char"/>
    <w:qFormat/>
    <w:rsid w:val="003C01AF"/>
    <w:pPr>
      <w:ind w:left="720"/>
      <w:outlineLvl w:val="7"/>
    </w:pPr>
    <w:rPr>
      <w:i/>
    </w:rPr>
  </w:style>
  <w:style w:type="paragraph" w:styleId="Heading9">
    <w:name w:val="heading 9"/>
    <w:basedOn w:val="Normal"/>
    <w:next w:val="Normal"/>
    <w:link w:val="Heading9Char"/>
    <w:qFormat/>
    <w:rsid w:val="003C01AF"/>
    <w:pPr>
      <w:ind w:left="720"/>
      <w:outlineLvl w:val="8"/>
    </w:pPr>
    <w:rPr>
      <w:i/>
    </w:rPr>
  </w:style>
  <w:style w:type="character" w:default="1" w:styleId="DefaultParagraphFont">
    <w:name w:val="Default Paragraph Font"/>
    <w:uiPriority w:val="1"/>
    <w:unhideWhenUsed/>
    <w:rsid w:val="003C0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1AF"/>
  </w:style>
  <w:style w:type="character" w:customStyle="1" w:styleId="Heading1Char">
    <w:name w:val="Heading 1 Char"/>
    <w:basedOn w:val="DefaultParagraphFont"/>
    <w:link w:val="Heading1"/>
    <w:rsid w:val="003C01AF"/>
    <w:rPr>
      <w:rFonts w:ascii="Times New Roman" w:eastAsia="Times New Roman" w:hAnsi="Times New Roman" w:cs="Times New Roman"/>
      <w:b/>
      <w:sz w:val="32"/>
      <w:szCs w:val="20"/>
      <w:lang w:eastAsia="en-US"/>
    </w:rPr>
  </w:style>
  <w:style w:type="paragraph" w:styleId="BodyText">
    <w:name w:val="Body Text"/>
    <w:basedOn w:val="Normal"/>
    <w:link w:val="BodyTextChar"/>
    <w:rsid w:val="003C0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1AF"/>
    <w:rPr>
      <w:rFonts w:ascii="Times New Roman" w:eastAsia="Times New Roman" w:hAnsi="Times New Roman" w:cs="Times New Roman"/>
      <w:sz w:val="24"/>
      <w:lang w:eastAsia="en-US"/>
    </w:rPr>
  </w:style>
  <w:style w:type="paragraph" w:styleId="ListBullet">
    <w:name w:val="List Bullet"/>
    <w:basedOn w:val="List"/>
    <w:rsid w:val="003C01AF"/>
    <w:pPr>
      <w:numPr>
        <w:numId w:val="12"/>
      </w:numPr>
      <w:tabs>
        <w:tab w:val="clear" w:pos="340"/>
      </w:tabs>
      <w:spacing w:before="40" w:after="40"/>
    </w:pPr>
  </w:style>
  <w:style w:type="paragraph" w:styleId="ListBullet2">
    <w:name w:val="List Bullet 2"/>
    <w:basedOn w:val="List2"/>
    <w:rsid w:val="003C01AF"/>
    <w:pPr>
      <w:numPr>
        <w:numId w:val="13"/>
      </w:numPr>
      <w:tabs>
        <w:tab w:val="clear" w:pos="680"/>
      </w:tabs>
    </w:pPr>
  </w:style>
  <w:style w:type="paragraph" w:customStyle="1" w:styleId="SuperHeading">
    <w:name w:val="SuperHeading"/>
    <w:basedOn w:val="Normal"/>
    <w:rsid w:val="003C01AF"/>
    <w:pPr>
      <w:spacing w:before="240" w:after="120"/>
      <w:outlineLvl w:val="0"/>
    </w:pPr>
    <w:rPr>
      <w:rFonts w:ascii="Times New Roman" w:hAnsi="Times New Roman"/>
      <w:b/>
      <w:sz w:val="32"/>
    </w:rPr>
  </w:style>
  <w:style w:type="paragraph" w:customStyle="1" w:styleId="AllowPageBreak">
    <w:name w:val="AllowPageBreak"/>
    <w:rsid w:val="003C01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0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1AF"/>
    <w:rPr>
      <w:rFonts w:ascii="Courier New" w:eastAsia="Times New Roman" w:hAnsi="Courier New" w:cs="Times New Roman"/>
      <w:i/>
      <w:szCs w:val="20"/>
      <w:lang w:eastAsia="en-US"/>
    </w:rPr>
  </w:style>
  <w:style w:type="paragraph" w:customStyle="1" w:styleId="HeadingBase">
    <w:name w:val="Heading Base"/>
    <w:rsid w:val="003C0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1AF"/>
    <w:pPr>
      <w:tabs>
        <w:tab w:val="right" w:leader="dot" w:pos="9072"/>
      </w:tabs>
      <w:ind w:left="567"/>
    </w:pPr>
    <w:rPr>
      <w:szCs w:val="22"/>
    </w:rPr>
  </w:style>
  <w:style w:type="paragraph" w:customStyle="1" w:styleId="TOCBase">
    <w:name w:val="TOC Base"/>
    <w:rsid w:val="003C0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1AF"/>
    <w:pPr>
      <w:tabs>
        <w:tab w:val="right" w:leader="dot" w:pos="9072"/>
      </w:tabs>
      <w:spacing w:before="40" w:after="40"/>
      <w:ind w:left="284"/>
    </w:pPr>
    <w:rPr>
      <w:rFonts w:ascii="Times New Roman" w:hAnsi="Times New Roman"/>
    </w:rPr>
  </w:style>
  <w:style w:type="paragraph" w:styleId="TOC1">
    <w:name w:val="toc 1"/>
    <w:basedOn w:val="TOCBase"/>
    <w:next w:val="Normal"/>
    <w:rsid w:val="003C0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1AF"/>
    <w:rPr>
      <w:rFonts w:ascii="Times New Roman" w:eastAsia="Times New Roman" w:hAnsi="Times New Roman" w:cs="Times New Roman"/>
      <w:sz w:val="16"/>
      <w:lang w:eastAsia="en-US"/>
    </w:rPr>
  </w:style>
  <w:style w:type="paragraph" w:styleId="Title">
    <w:name w:val="Title"/>
    <w:basedOn w:val="HeadingBase"/>
    <w:link w:val="TitleChar"/>
    <w:qFormat/>
    <w:rsid w:val="003C01AF"/>
    <w:pPr>
      <w:spacing w:before="5040"/>
      <w:jc w:val="center"/>
    </w:pPr>
    <w:rPr>
      <w:sz w:val="48"/>
      <w:szCs w:val="72"/>
      <w:lang w:val="en-US"/>
    </w:rPr>
  </w:style>
  <w:style w:type="character" w:customStyle="1" w:styleId="TitleChar">
    <w:name w:val="Title Char"/>
    <w:basedOn w:val="DefaultParagraphFont"/>
    <w:link w:val="Title"/>
    <w:rsid w:val="003C0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1AF"/>
    <w:pPr>
      <w:tabs>
        <w:tab w:val="left" w:pos="3600"/>
        <w:tab w:val="left" w:pos="3958"/>
      </w:tabs>
    </w:pPr>
  </w:style>
  <w:style w:type="paragraph" w:styleId="List">
    <w:name w:val="List"/>
    <w:basedOn w:val="BodyText"/>
    <w:next w:val="BodyText"/>
    <w:rsid w:val="003C01AF"/>
    <w:pPr>
      <w:tabs>
        <w:tab w:val="left" w:pos="340"/>
      </w:tabs>
      <w:spacing w:before="60" w:after="60"/>
      <w:ind w:left="340" w:hanging="340"/>
    </w:pPr>
  </w:style>
  <w:style w:type="paragraph" w:customStyle="1" w:styleId="Note">
    <w:name w:val="Note"/>
    <w:basedOn w:val="BodyText"/>
    <w:rsid w:val="003C01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1AF"/>
    <w:rPr>
      <w:b/>
      <w:spacing w:val="0"/>
    </w:rPr>
  </w:style>
  <w:style w:type="paragraph" w:customStyle="1" w:styleId="SuperTitle">
    <w:name w:val="SuperTitle"/>
    <w:basedOn w:val="Title"/>
    <w:rsid w:val="003C01AF"/>
    <w:pPr>
      <w:framePr w:wrap="auto" w:hAnchor="text" w:y="6049"/>
    </w:pPr>
    <w:rPr>
      <w:color w:val="000000"/>
      <w:sz w:val="40"/>
    </w:rPr>
  </w:style>
  <w:style w:type="paragraph" w:customStyle="1" w:styleId="TOCTitle">
    <w:name w:val="TOCTitle"/>
    <w:basedOn w:val="Heading1"/>
    <w:rsid w:val="003C01AF"/>
    <w:pPr>
      <w:spacing w:after="240"/>
      <w:jc w:val="center"/>
      <w:outlineLvl w:val="9"/>
    </w:pPr>
    <w:rPr>
      <w:caps/>
    </w:rPr>
  </w:style>
  <w:style w:type="paragraph" w:customStyle="1" w:styleId="Version">
    <w:name w:val="Version"/>
    <w:rsid w:val="003C0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1AF"/>
    <w:pPr>
      <w:keepNext w:val="0"/>
      <w:tabs>
        <w:tab w:val="right" w:pos="4176"/>
      </w:tabs>
      <w:ind w:left="198" w:hanging="198"/>
    </w:pPr>
    <w:rPr>
      <w:rFonts w:ascii="Garamond" w:hAnsi="Garamond"/>
    </w:rPr>
  </w:style>
  <w:style w:type="paragraph" w:styleId="IndexHeading">
    <w:name w:val="index heading"/>
    <w:basedOn w:val="Normal"/>
    <w:next w:val="Index1"/>
    <w:semiHidden/>
    <w:rsid w:val="003C01AF"/>
    <w:pPr>
      <w:spacing w:before="120" w:after="120"/>
    </w:pPr>
    <w:rPr>
      <w:rFonts w:ascii="Arial" w:hAnsi="Arial"/>
      <w:b/>
      <w:color w:val="918585"/>
      <w:sz w:val="24"/>
    </w:rPr>
  </w:style>
  <w:style w:type="paragraph" w:styleId="Header">
    <w:name w:val="header"/>
    <w:basedOn w:val="Normal"/>
    <w:link w:val="HeaderChar"/>
    <w:rsid w:val="003C0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1AF"/>
    <w:rPr>
      <w:rFonts w:ascii="Times New Roman" w:eastAsia="Times New Roman" w:hAnsi="Times New Roman" w:cs="Times New Roman"/>
      <w:sz w:val="16"/>
      <w:szCs w:val="20"/>
      <w:lang w:val="en-GB" w:eastAsia="en-US"/>
    </w:rPr>
  </w:style>
  <w:style w:type="paragraph" w:customStyle="1" w:styleId="Chapter">
    <w:name w:val="Chapter"/>
    <w:basedOn w:val="Normal"/>
    <w:rsid w:val="003C01AF"/>
    <w:pPr>
      <w:spacing w:before="240"/>
    </w:pPr>
    <w:rPr>
      <w:rFonts w:ascii="Times New Roman" w:hAnsi="Times New Roman"/>
      <w:smallCaps/>
      <w:spacing w:val="80"/>
      <w:sz w:val="28"/>
    </w:rPr>
  </w:style>
  <w:style w:type="paragraph" w:customStyle="1" w:styleId="InChapter">
    <w:name w:val="InChapter"/>
    <w:basedOn w:val="Heading3"/>
    <w:rsid w:val="003C01AF"/>
    <w:pPr>
      <w:spacing w:after="240"/>
      <w:outlineLvl w:val="9"/>
    </w:pPr>
    <w:rPr>
      <w:noProof/>
    </w:rPr>
  </w:style>
  <w:style w:type="paragraph" w:styleId="Index2">
    <w:name w:val="index 2"/>
    <w:basedOn w:val="Normal"/>
    <w:next w:val="Normal"/>
    <w:semiHidden/>
    <w:rsid w:val="003C01AF"/>
    <w:pPr>
      <w:tabs>
        <w:tab w:val="right" w:pos="4176"/>
      </w:tabs>
      <w:ind w:left="568" w:hanging="284"/>
    </w:pPr>
    <w:rPr>
      <w:rFonts w:ascii="Garamond" w:hAnsi="Garamond"/>
    </w:rPr>
  </w:style>
  <w:style w:type="paragraph" w:customStyle="1" w:styleId="Byline">
    <w:name w:val="Byline"/>
    <w:rsid w:val="003C0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1AF"/>
    <w:pPr>
      <w:tabs>
        <w:tab w:val="clear" w:pos="3600"/>
        <w:tab w:val="clear" w:pos="3958"/>
      </w:tabs>
      <w:jc w:val="right"/>
    </w:pPr>
  </w:style>
  <w:style w:type="character" w:styleId="Emphasis">
    <w:name w:val="Emphasis"/>
    <w:basedOn w:val="DefaultParagraphFont"/>
    <w:qFormat/>
    <w:rsid w:val="003C01AF"/>
    <w:rPr>
      <w:i/>
    </w:rPr>
  </w:style>
  <w:style w:type="paragraph" w:styleId="Caption">
    <w:name w:val="caption"/>
    <w:basedOn w:val="BodyText"/>
    <w:next w:val="Normal"/>
    <w:qFormat/>
    <w:rsid w:val="003C01AF"/>
    <w:pPr>
      <w:framePr w:w="2268" w:hSpace="181" w:vSpace="181" w:wrap="around" w:vAnchor="text" w:hAnchor="page" w:x="1135" w:y="285" w:anchorLock="1"/>
    </w:pPr>
    <w:rPr>
      <w:i/>
    </w:rPr>
  </w:style>
  <w:style w:type="paragraph" w:customStyle="1" w:styleId="MiniTOCTitle">
    <w:name w:val="MiniTOCTitle"/>
    <w:basedOn w:val="Heading4"/>
    <w:rsid w:val="003C01AF"/>
    <w:pPr>
      <w:spacing w:before="240"/>
      <w:outlineLvl w:val="9"/>
    </w:pPr>
    <w:rPr>
      <w:noProof/>
      <w:sz w:val="24"/>
    </w:rPr>
  </w:style>
  <w:style w:type="paragraph" w:customStyle="1" w:styleId="MiniTOCItem">
    <w:name w:val="MiniTOCItem"/>
    <w:basedOn w:val="ListBullet"/>
    <w:rsid w:val="003C01AF"/>
    <w:pPr>
      <w:numPr>
        <w:numId w:val="0"/>
      </w:numPr>
      <w:tabs>
        <w:tab w:val="right" w:leader="dot" w:pos="6521"/>
      </w:tabs>
      <w:spacing w:before="0" w:after="0"/>
    </w:pPr>
  </w:style>
  <w:style w:type="paragraph" w:customStyle="1" w:styleId="TOFTitle">
    <w:name w:val="TOFTitle"/>
    <w:basedOn w:val="TOCTitle"/>
    <w:rsid w:val="003C01AF"/>
  </w:style>
  <w:style w:type="paragraph" w:styleId="TableofFigures">
    <w:name w:val="table of figures"/>
    <w:basedOn w:val="Normal"/>
    <w:next w:val="Normal"/>
    <w:semiHidden/>
    <w:rsid w:val="003C01AF"/>
    <w:pPr>
      <w:tabs>
        <w:tab w:val="right" w:leader="dot" w:pos="9072"/>
      </w:tabs>
      <w:ind w:left="970" w:hanging="403"/>
    </w:pPr>
    <w:rPr>
      <w:rFonts w:ascii="Times New Roman" w:hAnsi="Times New Roman"/>
      <w:b/>
    </w:rPr>
  </w:style>
  <w:style w:type="paragraph" w:styleId="ListNumber">
    <w:name w:val="List Number"/>
    <w:basedOn w:val="List"/>
    <w:rsid w:val="003C01AF"/>
    <w:pPr>
      <w:numPr>
        <w:numId w:val="15"/>
      </w:numPr>
      <w:tabs>
        <w:tab w:val="clear" w:pos="340"/>
      </w:tabs>
    </w:pPr>
  </w:style>
  <w:style w:type="character" w:customStyle="1" w:styleId="WingdingSymbols">
    <w:name w:val="Wingding Symbols"/>
    <w:rsid w:val="003C01AF"/>
    <w:rPr>
      <w:rFonts w:ascii="Wingdings" w:hAnsi="Wingdings"/>
    </w:rPr>
  </w:style>
  <w:style w:type="paragraph" w:customStyle="1" w:styleId="TableHeading">
    <w:name w:val="Table Heading"/>
    <w:basedOn w:val="HeadingBase"/>
    <w:rsid w:val="003C01AF"/>
    <w:pPr>
      <w:keepLines/>
      <w:pBdr>
        <w:bottom w:val="single" w:sz="6" w:space="1" w:color="918585"/>
      </w:pBdr>
      <w:spacing w:before="240"/>
    </w:pPr>
  </w:style>
  <w:style w:type="character" w:customStyle="1" w:styleId="HotSpot">
    <w:name w:val="HotSpot"/>
    <w:rsid w:val="003C01AF"/>
    <w:rPr>
      <w:color w:val="0033CC"/>
      <w:u w:val="none"/>
    </w:rPr>
  </w:style>
  <w:style w:type="paragraph" w:customStyle="1" w:styleId="BodyTextRight">
    <w:name w:val="Body Text Right"/>
    <w:basedOn w:val="BodyText"/>
    <w:rsid w:val="003C01AF"/>
    <w:pPr>
      <w:spacing w:before="0" w:after="0"/>
      <w:jc w:val="right"/>
    </w:pPr>
  </w:style>
  <w:style w:type="paragraph" w:styleId="Index3">
    <w:name w:val="index 3"/>
    <w:basedOn w:val="ListNumber2"/>
    <w:next w:val="Normal"/>
    <w:semiHidden/>
    <w:rsid w:val="003C01AF"/>
    <w:pPr>
      <w:numPr>
        <w:numId w:val="0"/>
      </w:numPr>
      <w:tabs>
        <w:tab w:val="right" w:leader="dot" w:pos="4176"/>
      </w:tabs>
    </w:pPr>
  </w:style>
  <w:style w:type="paragraph" w:styleId="ListNumber2">
    <w:name w:val="List Number 2"/>
    <w:basedOn w:val="List2"/>
    <w:rsid w:val="003C01AF"/>
    <w:pPr>
      <w:numPr>
        <w:numId w:val="10"/>
      </w:numPr>
      <w:tabs>
        <w:tab w:val="clear" w:pos="1060"/>
      </w:tabs>
    </w:pPr>
  </w:style>
  <w:style w:type="paragraph" w:customStyle="1" w:styleId="MarginNote">
    <w:name w:val="Margin Note"/>
    <w:basedOn w:val="BodyText"/>
    <w:rsid w:val="003C0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1AF"/>
    <w:rPr>
      <w:sz w:val="32"/>
    </w:rPr>
  </w:style>
  <w:style w:type="paragraph" w:customStyle="1" w:styleId="HeadingProcedure">
    <w:name w:val="Heading Procedure"/>
    <w:basedOn w:val="HeadingBase"/>
    <w:next w:val="Normal"/>
    <w:rsid w:val="003C01AF"/>
    <w:pPr>
      <w:tabs>
        <w:tab w:val="left" w:pos="0"/>
      </w:tabs>
      <w:spacing w:before="120" w:after="60"/>
    </w:pPr>
    <w:rPr>
      <w:i/>
      <w:color w:val="918585"/>
      <w:sz w:val="22"/>
    </w:rPr>
  </w:style>
  <w:style w:type="paragraph" w:customStyle="1" w:styleId="TableBodyText">
    <w:name w:val="Table Body Text"/>
    <w:basedOn w:val="BodyText"/>
    <w:rsid w:val="003C01AF"/>
    <w:pPr>
      <w:spacing w:before="60" w:after="60"/>
    </w:pPr>
  </w:style>
  <w:style w:type="paragraph" w:styleId="ListContinue">
    <w:name w:val="List Continue"/>
    <w:basedOn w:val="List"/>
    <w:rsid w:val="003C01AF"/>
    <w:pPr>
      <w:ind w:firstLine="0"/>
    </w:pPr>
  </w:style>
  <w:style w:type="paragraph" w:customStyle="1" w:styleId="ListNote">
    <w:name w:val="List Note"/>
    <w:basedOn w:val="List"/>
    <w:rsid w:val="003C01AF"/>
    <w:pPr>
      <w:pBdr>
        <w:top w:val="single" w:sz="6" w:space="2" w:color="918585"/>
        <w:bottom w:val="single" w:sz="6" w:space="2" w:color="918585"/>
      </w:pBdr>
      <w:tabs>
        <w:tab w:val="left" w:pos="1021"/>
      </w:tabs>
      <w:ind w:firstLine="0"/>
    </w:pPr>
  </w:style>
  <w:style w:type="paragraph" w:customStyle="1" w:styleId="Warning">
    <w:name w:val="Warning"/>
    <w:basedOn w:val="BodyText"/>
    <w:rsid w:val="003C01AF"/>
    <w:pPr>
      <w:shd w:val="clear" w:color="auto" w:fill="D9D9D9"/>
      <w:tabs>
        <w:tab w:val="left" w:pos="992"/>
      </w:tabs>
      <w:ind w:left="119" w:right="119"/>
    </w:pPr>
    <w:rPr>
      <w:sz w:val="20"/>
    </w:rPr>
  </w:style>
  <w:style w:type="paragraph" w:customStyle="1" w:styleId="MarginIcons">
    <w:name w:val="Margin Icons"/>
    <w:basedOn w:val="BodyText"/>
    <w:rsid w:val="003C0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1AF"/>
    <w:rPr>
      <w:rFonts w:ascii="Courier New" w:hAnsi="Courier New"/>
    </w:rPr>
  </w:style>
  <w:style w:type="paragraph" w:customStyle="1" w:styleId="NoteBullet">
    <w:name w:val="Note Bullet"/>
    <w:basedOn w:val="Note"/>
    <w:rsid w:val="003C01AF"/>
    <w:pPr>
      <w:tabs>
        <w:tab w:val="clear" w:pos="680"/>
      </w:tabs>
      <w:spacing w:before="60" w:after="60"/>
    </w:pPr>
  </w:style>
  <w:style w:type="paragraph" w:customStyle="1" w:styleId="SubHeading2">
    <w:name w:val="SubHeading2"/>
    <w:basedOn w:val="HeadingBase"/>
    <w:rsid w:val="003C01AF"/>
    <w:pPr>
      <w:spacing w:before="240" w:after="60"/>
    </w:pPr>
    <w:rPr>
      <w:sz w:val="20"/>
    </w:rPr>
  </w:style>
  <w:style w:type="paragraph" w:customStyle="1" w:styleId="SubHeading1">
    <w:name w:val="SubHeading1"/>
    <w:basedOn w:val="HeadingBase"/>
    <w:rsid w:val="003C01AF"/>
    <w:pPr>
      <w:spacing w:before="240" w:after="60"/>
    </w:pPr>
    <w:rPr>
      <w:color w:val="918585"/>
      <w:sz w:val="22"/>
    </w:rPr>
  </w:style>
  <w:style w:type="paragraph" w:customStyle="1" w:styleId="SideHeading">
    <w:name w:val="Side Heading"/>
    <w:basedOn w:val="HeadingBase"/>
    <w:rsid w:val="003C0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1AF"/>
    <w:pPr>
      <w:tabs>
        <w:tab w:val="num" w:pos="360"/>
      </w:tabs>
    </w:pPr>
  </w:style>
  <w:style w:type="paragraph" w:styleId="PlainText">
    <w:name w:val="Plain Text"/>
    <w:basedOn w:val="Normal"/>
    <w:link w:val="PlainTextChar"/>
    <w:rsid w:val="003C01AF"/>
    <w:rPr>
      <w:sz w:val="20"/>
    </w:rPr>
  </w:style>
  <w:style w:type="character" w:customStyle="1" w:styleId="PlainTextChar">
    <w:name w:val="Plain Text Char"/>
    <w:basedOn w:val="DefaultParagraphFont"/>
    <w:link w:val="PlainText"/>
    <w:rsid w:val="003C01AF"/>
    <w:rPr>
      <w:rFonts w:ascii="Courier New" w:eastAsia="Times New Roman" w:hAnsi="Courier New" w:cs="Times New Roman"/>
      <w:sz w:val="20"/>
      <w:szCs w:val="20"/>
      <w:lang w:eastAsia="en-US"/>
    </w:rPr>
  </w:style>
  <w:style w:type="character" w:customStyle="1" w:styleId="MenuOption">
    <w:name w:val="Menu Option"/>
    <w:basedOn w:val="DefaultParagraphFont"/>
    <w:rsid w:val="003C01AF"/>
    <w:rPr>
      <w:b/>
      <w:smallCaps/>
    </w:rPr>
  </w:style>
  <w:style w:type="paragraph" w:customStyle="1" w:styleId="TableListNumber">
    <w:name w:val="Table List Number"/>
    <w:basedOn w:val="ListNumber"/>
    <w:rsid w:val="003C01AF"/>
    <w:pPr>
      <w:numPr>
        <w:numId w:val="0"/>
      </w:numPr>
    </w:pPr>
  </w:style>
  <w:style w:type="paragraph" w:styleId="TOC4">
    <w:name w:val="toc 4"/>
    <w:basedOn w:val="TOCBase"/>
    <w:next w:val="Normal"/>
    <w:semiHidden/>
    <w:rsid w:val="003C01AF"/>
    <w:pPr>
      <w:tabs>
        <w:tab w:val="right" w:leader="dot" w:pos="9071"/>
      </w:tabs>
      <w:ind w:left="1701"/>
    </w:pPr>
  </w:style>
  <w:style w:type="paragraph" w:customStyle="1" w:styleId="ListAlpha">
    <w:name w:val="List Alpha"/>
    <w:basedOn w:val="List"/>
    <w:rsid w:val="003C01AF"/>
    <w:pPr>
      <w:numPr>
        <w:numId w:val="9"/>
      </w:numPr>
    </w:pPr>
  </w:style>
  <w:style w:type="paragraph" w:customStyle="1" w:styleId="ListAlpha2">
    <w:name w:val="List Alpha 2"/>
    <w:basedOn w:val="List2"/>
    <w:rsid w:val="003C01AF"/>
    <w:pPr>
      <w:numPr>
        <w:numId w:val="8"/>
      </w:numPr>
    </w:pPr>
  </w:style>
  <w:style w:type="paragraph" w:styleId="List2">
    <w:name w:val="List 2"/>
    <w:basedOn w:val="BodyText"/>
    <w:rsid w:val="003C01AF"/>
    <w:pPr>
      <w:tabs>
        <w:tab w:val="left" w:pos="680"/>
      </w:tabs>
      <w:spacing w:before="60" w:after="60"/>
      <w:ind w:left="680" w:hanging="340"/>
    </w:pPr>
  </w:style>
  <w:style w:type="paragraph" w:styleId="List3">
    <w:name w:val="List 3"/>
    <w:basedOn w:val="BodyText"/>
    <w:rsid w:val="003C01AF"/>
    <w:pPr>
      <w:tabs>
        <w:tab w:val="left" w:pos="1021"/>
      </w:tabs>
      <w:spacing w:before="60" w:after="60"/>
      <w:ind w:left="1020" w:hanging="340"/>
    </w:pPr>
  </w:style>
  <w:style w:type="paragraph" w:styleId="List4">
    <w:name w:val="List 4"/>
    <w:basedOn w:val="BodyText"/>
    <w:rsid w:val="003C01AF"/>
    <w:pPr>
      <w:tabs>
        <w:tab w:val="left" w:pos="1361"/>
      </w:tabs>
      <w:spacing w:before="60" w:after="60"/>
      <w:ind w:left="1361" w:hanging="340"/>
    </w:pPr>
  </w:style>
  <w:style w:type="paragraph" w:styleId="List5">
    <w:name w:val="List 5"/>
    <w:basedOn w:val="BodyText"/>
    <w:rsid w:val="003C01AF"/>
    <w:pPr>
      <w:tabs>
        <w:tab w:val="left" w:pos="1701"/>
      </w:tabs>
      <w:spacing w:before="60" w:after="60"/>
      <w:ind w:left="1701" w:hanging="340"/>
    </w:pPr>
  </w:style>
  <w:style w:type="paragraph" w:styleId="ListBullet3">
    <w:name w:val="List Bullet 3"/>
    <w:basedOn w:val="List3"/>
    <w:rsid w:val="003C01AF"/>
    <w:pPr>
      <w:numPr>
        <w:numId w:val="14"/>
      </w:numPr>
      <w:tabs>
        <w:tab w:val="clear" w:pos="1021"/>
      </w:tabs>
      <w:ind w:left="1037" w:hanging="357"/>
    </w:pPr>
  </w:style>
  <w:style w:type="paragraph" w:styleId="ListBullet4">
    <w:name w:val="List Bullet 4"/>
    <w:basedOn w:val="List4"/>
    <w:rsid w:val="003C01AF"/>
    <w:pPr>
      <w:numPr>
        <w:numId w:val="3"/>
      </w:numPr>
      <w:tabs>
        <w:tab w:val="clear" w:pos="1361"/>
      </w:tabs>
    </w:pPr>
  </w:style>
  <w:style w:type="paragraph" w:styleId="ListBullet5">
    <w:name w:val="List Bullet 5"/>
    <w:basedOn w:val="List5"/>
    <w:rsid w:val="003C01AF"/>
    <w:pPr>
      <w:numPr>
        <w:numId w:val="4"/>
      </w:numPr>
    </w:pPr>
  </w:style>
  <w:style w:type="paragraph" w:styleId="ListContinue2">
    <w:name w:val="List Continue 2"/>
    <w:basedOn w:val="List2"/>
    <w:rsid w:val="003C01AF"/>
    <w:pPr>
      <w:ind w:firstLine="0"/>
    </w:pPr>
  </w:style>
  <w:style w:type="paragraph" w:styleId="ListContinue3">
    <w:name w:val="List Continue 3"/>
    <w:basedOn w:val="List3"/>
    <w:rsid w:val="003C01AF"/>
    <w:pPr>
      <w:ind w:left="1021" w:firstLine="0"/>
    </w:pPr>
  </w:style>
  <w:style w:type="paragraph" w:styleId="ListContinue4">
    <w:name w:val="List Continue 4"/>
    <w:basedOn w:val="List4"/>
    <w:rsid w:val="003C01AF"/>
    <w:pPr>
      <w:ind w:firstLine="0"/>
    </w:pPr>
  </w:style>
  <w:style w:type="paragraph" w:styleId="ListContinue5">
    <w:name w:val="List Continue 5"/>
    <w:basedOn w:val="List5"/>
    <w:rsid w:val="003C01AF"/>
    <w:pPr>
      <w:ind w:firstLine="0"/>
    </w:pPr>
  </w:style>
  <w:style w:type="paragraph" w:styleId="ListNumber3">
    <w:name w:val="List Number 3"/>
    <w:basedOn w:val="List3"/>
    <w:rsid w:val="003C01AF"/>
    <w:pPr>
      <w:numPr>
        <w:numId w:val="5"/>
      </w:numPr>
    </w:pPr>
  </w:style>
  <w:style w:type="paragraph" w:styleId="ListNumber4">
    <w:name w:val="List Number 4"/>
    <w:basedOn w:val="List4"/>
    <w:rsid w:val="003C01AF"/>
    <w:pPr>
      <w:numPr>
        <w:numId w:val="6"/>
      </w:numPr>
    </w:pPr>
  </w:style>
  <w:style w:type="paragraph" w:styleId="ListNumber5">
    <w:name w:val="List Number 5"/>
    <w:basedOn w:val="List5"/>
    <w:rsid w:val="003C01AF"/>
    <w:pPr>
      <w:numPr>
        <w:numId w:val="7"/>
      </w:numPr>
    </w:pPr>
  </w:style>
  <w:style w:type="paragraph" w:styleId="BlockText">
    <w:name w:val="Block Text"/>
    <w:basedOn w:val="Normal"/>
    <w:rsid w:val="003C01AF"/>
    <w:pPr>
      <w:spacing w:after="120"/>
      <w:ind w:left="1440" w:right="1440"/>
    </w:pPr>
  </w:style>
  <w:style w:type="character" w:customStyle="1" w:styleId="Subscript">
    <w:name w:val="Subscript"/>
    <w:basedOn w:val="DefaultParagraphFont"/>
    <w:rsid w:val="003C01AF"/>
    <w:rPr>
      <w:sz w:val="16"/>
      <w:vertAlign w:val="subscript"/>
    </w:rPr>
  </w:style>
  <w:style w:type="character" w:customStyle="1" w:styleId="Superscript">
    <w:name w:val="Superscript"/>
    <w:basedOn w:val="DefaultParagraphFont"/>
    <w:rsid w:val="003C01AF"/>
    <w:rPr>
      <w:sz w:val="16"/>
      <w:vertAlign w:val="superscript"/>
    </w:rPr>
  </w:style>
  <w:style w:type="character" w:customStyle="1" w:styleId="Symbols">
    <w:name w:val="Symbols"/>
    <w:basedOn w:val="DefaultParagraphFont"/>
    <w:rsid w:val="003C01AF"/>
    <w:rPr>
      <w:rFonts w:ascii="Symbol" w:hAnsi="Symbol"/>
    </w:rPr>
  </w:style>
  <w:style w:type="character" w:customStyle="1" w:styleId="MenuOptions">
    <w:name w:val="Menu Options"/>
    <w:basedOn w:val="DefaultParagraphFont"/>
    <w:rsid w:val="003C01AF"/>
    <w:rPr>
      <w:rFonts w:ascii="Arial Narrow" w:hAnsi="Arial Narrow"/>
      <w:smallCaps/>
    </w:rPr>
  </w:style>
  <w:style w:type="character" w:customStyle="1" w:styleId="Buttons">
    <w:name w:val="Buttons"/>
    <w:basedOn w:val="DefaultParagraphFont"/>
    <w:rsid w:val="003C01AF"/>
    <w:rPr>
      <w:b/>
    </w:rPr>
  </w:style>
  <w:style w:type="character" w:customStyle="1" w:styleId="Underlined">
    <w:name w:val="Underlined"/>
    <w:basedOn w:val="DefaultParagraphFont"/>
    <w:rsid w:val="003C01AF"/>
    <w:rPr>
      <w:u w:val="single"/>
    </w:rPr>
  </w:style>
  <w:style w:type="paragraph" w:customStyle="1" w:styleId="TableBodyTextRight">
    <w:name w:val="Table Body Text Right"/>
    <w:basedOn w:val="TableBodyText"/>
    <w:rsid w:val="003C01AF"/>
    <w:pPr>
      <w:widowControl w:val="0"/>
      <w:autoSpaceDE w:val="0"/>
      <w:autoSpaceDN w:val="0"/>
      <w:adjustRightInd w:val="0"/>
      <w:jc w:val="right"/>
    </w:pPr>
    <w:rPr>
      <w:rFonts w:cs="Arial"/>
      <w:szCs w:val="18"/>
    </w:rPr>
  </w:style>
  <w:style w:type="paragraph" w:customStyle="1" w:styleId="CopyrightText">
    <w:name w:val="Copyright Text"/>
    <w:basedOn w:val="BodyText"/>
    <w:rsid w:val="003C01AF"/>
    <w:rPr>
      <w:sz w:val="18"/>
    </w:rPr>
  </w:style>
  <w:style w:type="paragraph" w:customStyle="1" w:styleId="BodySmallRight">
    <w:name w:val="Body Small Right"/>
    <w:basedOn w:val="BodyTextRight"/>
    <w:rsid w:val="003C01AF"/>
    <w:rPr>
      <w:sz w:val="18"/>
      <w:szCs w:val="18"/>
    </w:rPr>
  </w:style>
  <w:style w:type="paragraph" w:customStyle="1" w:styleId="MarginEdition">
    <w:name w:val="Margin Edition"/>
    <w:basedOn w:val="MarginNote"/>
    <w:rsid w:val="003C01AF"/>
    <w:pPr>
      <w:spacing w:before="0" w:after="0"/>
    </w:pPr>
    <w:rPr>
      <w:rFonts w:ascii="Times New Roman" w:hAnsi="Times New Roman"/>
      <w:color w:val="999999"/>
    </w:rPr>
  </w:style>
  <w:style w:type="paragraph" w:customStyle="1" w:styleId="Spacer">
    <w:name w:val="Spacer"/>
    <w:basedOn w:val="Normal"/>
    <w:rsid w:val="003C01AF"/>
    <w:rPr>
      <w:sz w:val="2"/>
      <w:szCs w:val="2"/>
    </w:rPr>
  </w:style>
  <w:style w:type="character" w:customStyle="1" w:styleId="Small">
    <w:name w:val="Small"/>
    <w:basedOn w:val="DefaultParagraphFont"/>
    <w:rsid w:val="003C01AF"/>
    <w:rPr>
      <w:sz w:val="16"/>
    </w:rPr>
  </w:style>
  <w:style w:type="paragraph" w:customStyle="1" w:styleId="WideTable">
    <w:name w:val="Wide Table"/>
    <w:basedOn w:val="Normal"/>
    <w:rsid w:val="003C01AF"/>
    <w:pPr>
      <w:ind w:left="-1418"/>
    </w:pPr>
    <w:rPr>
      <w:sz w:val="2"/>
      <w:szCs w:val="2"/>
    </w:rPr>
  </w:style>
  <w:style w:type="character" w:styleId="PageNumber">
    <w:name w:val="page number"/>
    <w:basedOn w:val="DefaultParagraphFont"/>
    <w:rsid w:val="003C01AF"/>
  </w:style>
  <w:style w:type="paragraph" w:styleId="Quote">
    <w:name w:val="Quote"/>
    <w:basedOn w:val="Heading1"/>
    <w:link w:val="QuoteChar"/>
    <w:qFormat/>
    <w:rsid w:val="003C01AF"/>
    <w:rPr>
      <w:b w:val="0"/>
      <w:sz w:val="72"/>
      <w:szCs w:val="72"/>
      <w:lang w:val="en-NZ"/>
    </w:rPr>
  </w:style>
  <w:style w:type="character" w:customStyle="1" w:styleId="QuoteChar">
    <w:name w:val="Quote Char"/>
    <w:basedOn w:val="DefaultParagraphFont"/>
    <w:link w:val="Quote"/>
    <w:rsid w:val="003C0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1AF"/>
    <w:pPr>
      <w:pageBreakBefore/>
    </w:pPr>
  </w:style>
  <w:style w:type="paragraph" w:customStyle="1" w:styleId="Border">
    <w:name w:val="Border"/>
    <w:basedOn w:val="Normal"/>
    <w:qFormat/>
    <w:rsid w:val="003C0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1AF"/>
    <w:rPr>
      <w:b/>
      <w:bCs/>
      <w:i/>
      <w:iCs/>
      <w:color w:val="auto"/>
    </w:rPr>
  </w:style>
  <w:style w:type="paragraph" w:styleId="IntenseQuote">
    <w:name w:val="Intense Quote"/>
    <w:basedOn w:val="Normal"/>
    <w:next w:val="Normal"/>
    <w:link w:val="IntenseQuoteChar"/>
    <w:uiPriority w:val="30"/>
    <w:qFormat/>
    <w:rsid w:val="003C0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1AF"/>
    <w:rPr>
      <w:smallCaps/>
      <w:color w:val="auto"/>
      <w:u w:val="single"/>
    </w:rPr>
  </w:style>
  <w:style w:type="character" w:styleId="IntenseReference">
    <w:name w:val="Intense Reference"/>
    <w:basedOn w:val="DefaultParagraphFont"/>
    <w:uiPriority w:val="32"/>
    <w:qFormat/>
    <w:rsid w:val="003C01AF"/>
    <w:rPr>
      <w:b/>
      <w:bCs/>
      <w:smallCaps/>
      <w:color w:val="auto"/>
      <w:spacing w:val="5"/>
      <w:u w:val="single"/>
    </w:rPr>
  </w:style>
  <w:style w:type="paragraph" w:customStyle="1" w:styleId="2ColumnHeading">
    <w:name w:val="2Column Heading"/>
    <w:basedOn w:val="BodyText"/>
    <w:qFormat/>
    <w:rsid w:val="003C01AF"/>
    <w:pPr>
      <w:spacing w:after="60"/>
      <w:ind w:left="-2268"/>
    </w:pPr>
    <w:rPr>
      <w:b/>
    </w:rPr>
  </w:style>
  <w:style w:type="paragraph" w:customStyle="1" w:styleId="Heading1TOC">
    <w:name w:val="Heading1 TOC"/>
    <w:basedOn w:val="Normal"/>
    <w:qFormat/>
    <w:rsid w:val="003C01AF"/>
    <w:pPr>
      <w:spacing w:before="240" w:after="120"/>
    </w:pPr>
    <w:rPr>
      <w:rFonts w:ascii="Times New Roman" w:hAnsi="Times New Roman"/>
      <w:b/>
      <w:sz w:val="32"/>
    </w:rPr>
  </w:style>
  <w:style w:type="paragraph" w:customStyle="1" w:styleId="Heading2TOC">
    <w:name w:val="Heading2 TOC"/>
    <w:basedOn w:val="Normal"/>
    <w:qFormat/>
    <w:rsid w:val="003C01AF"/>
    <w:pPr>
      <w:spacing w:before="240" w:after="60"/>
    </w:pPr>
    <w:rPr>
      <w:rFonts w:ascii="Times New Roman" w:hAnsi="Times New Roman"/>
      <w:b/>
      <w:sz w:val="28"/>
    </w:rPr>
  </w:style>
  <w:style w:type="character" w:customStyle="1" w:styleId="Underline">
    <w:name w:val="Underline"/>
    <w:basedOn w:val="DefaultParagraphFont"/>
    <w:qFormat/>
    <w:rsid w:val="003C01AF"/>
    <w:rPr>
      <w:u w:val="single"/>
    </w:rPr>
  </w:style>
  <w:style w:type="character" w:customStyle="1" w:styleId="BoldandItalics">
    <w:name w:val="Bold and Italics"/>
    <w:qFormat/>
    <w:rsid w:val="003C01AF"/>
    <w:rPr>
      <w:b/>
      <w:i/>
      <w:u w:val="none"/>
    </w:rPr>
  </w:style>
  <w:style w:type="paragraph" w:styleId="BalloonText">
    <w:name w:val="Balloon Text"/>
    <w:basedOn w:val="Normal"/>
    <w:link w:val="BalloonTextChar"/>
    <w:rsid w:val="003C01AF"/>
    <w:rPr>
      <w:rFonts w:ascii="Tahoma" w:hAnsi="Tahoma" w:cs="Tahoma"/>
      <w:sz w:val="16"/>
      <w:szCs w:val="16"/>
    </w:rPr>
  </w:style>
  <w:style w:type="character" w:customStyle="1" w:styleId="BalloonTextChar">
    <w:name w:val="Balloon Text Char"/>
    <w:basedOn w:val="DefaultParagraphFont"/>
    <w:link w:val="BalloonText"/>
    <w:rsid w:val="003C0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1AF"/>
    <w:rPr>
      <w:b/>
      <w:color w:val="660033"/>
      <w:spacing w:val="0"/>
    </w:rPr>
  </w:style>
  <w:style w:type="paragraph" w:customStyle="1" w:styleId="Nameditemlist">
    <w:name w:val="Named item list"/>
    <w:basedOn w:val="BodyText"/>
    <w:qFormat/>
    <w:rsid w:val="003C01AF"/>
    <w:pPr>
      <w:tabs>
        <w:tab w:val="left" w:pos="2835"/>
      </w:tabs>
      <w:ind w:left="2835" w:hanging="2835"/>
    </w:pPr>
  </w:style>
  <w:style w:type="paragraph" w:customStyle="1" w:styleId="BodyTextnopadding">
    <w:name w:val="Body Text no padding"/>
    <w:basedOn w:val="BodyText"/>
    <w:qFormat/>
    <w:rsid w:val="003C01AF"/>
    <w:pPr>
      <w:spacing w:before="0" w:after="0"/>
    </w:pPr>
  </w:style>
  <w:style w:type="paragraph" w:customStyle="1" w:styleId="BodyTextBold">
    <w:name w:val="Body Text Bold"/>
    <w:basedOn w:val="BodyText"/>
    <w:qFormat/>
    <w:rsid w:val="003C01AF"/>
    <w:rPr>
      <w:b/>
    </w:rPr>
  </w:style>
  <w:style w:type="character" w:styleId="Hyperlink">
    <w:name w:val="Hyperlink"/>
    <w:basedOn w:val="DefaultParagraphFont"/>
    <w:uiPriority w:val="99"/>
    <w:unhideWhenUsed/>
    <w:rsid w:val="002B5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2308</Words>
  <Characters>16229</Characters>
  <Application>Microsoft Office Word</Application>
  <DocSecurity>0</DocSecurity>
  <Lines>289</Lines>
  <Paragraphs>161</Paragraphs>
  <ScaleCrop>false</ScaleCrop>
  <Company>Author-it Software Corporation Ltd.</Company>
  <LinksUpToDate>false</LinksUpToDate>
  <CharactersWithSpaces>18376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UETTDRSO46 Monitor and control the field staff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2022-06-03T04:26:00Z</dcterms:created>
  <dcterms:modified xsi:type="dcterms:W3CDTF">2022-06-03T04:26:00Z</dcterms:modified>
</cp:coreProperties>
</file>