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907" w:rsidP="00A83907">
      <w:pPr>
        <w:pStyle w:val="Title"/>
      </w:pPr>
      <w:r>
        <w:fldChar w:fldCharType="begin"/>
      </w:r>
      <w:r>
        <w:instrText xml:space="preserve"> TITLE   \* MERGEFORMAT </w:instrText>
      </w:r>
      <w:r>
        <w:fldChar w:fldCharType="separate"/>
      </w:r>
      <w:r>
        <w:t>UETTDRSO44 Develop crisis power systems management plans</w:t>
      </w:r>
      <w:r>
        <w:fldChar w:fldCharType="end"/>
      </w:r>
    </w:p>
    <w:p w:rsidR="00A83907" w:rsidP="00A83907">
      <w:pPr>
        <w:pStyle w:val="Version"/>
        <w:sectPr w:rsidSect="001B0A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AAE" w:rsidP="001B0AAE">
      <w:pPr>
        <w:pStyle w:val="SuperHeading"/>
      </w:pPr>
      <w:r w:rsidRPr="001B0AAE">
        <w:t>UETTDRSO44 Develop crisis power systems management plans</w:t>
      </w:r>
    </w:p>
    <w:p w:rsidR="00000000" w:rsidRPr="001B0AAE" w:rsidP="001B0AAE">
      <w:pPr>
        <w:pStyle w:val="Heading1"/>
      </w:pPr>
      <w:bookmarkStart w:id="1" w:name="O_1005005"/>
      <w:bookmarkEnd w:id="1"/>
      <w:r w:rsidRPr="001B0AAE">
        <w:t>Modification History</w:t>
      </w:r>
    </w:p>
    <w:tbl>
      <w:tblPr>
        <w:tblW w:w="9497" w:type="dxa"/>
        <w:tblLayout w:type="fixed"/>
        <w:tblCellMar>
          <w:left w:w="62" w:type="dxa"/>
          <w:right w:w="62" w:type="dxa"/>
        </w:tblCellMar>
        <w:tblLook w:val="0000"/>
      </w:tblPr>
      <w:tblGrid>
        <w:gridCol w:w="9497"/>
      </w:tblGrid>
      <w:tr w:rsidTr="001B0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t>Release 1. This is the first release of this unit of competency in the UET Transmission, Distribution and Rail Sector Training Package.</w:t>
            </w:r>
          </w:p>
        </w:tc>
      </w:tr>
    </w:tbl>
    <w:p w:rsidR="00000000" w:rsidRPr="001B0AAE" w:rsidP="001B0AAE">
      <w:pPr>
        <w:pStyle w:val="NoPaddingFontSize1"/>
      </w:pPr>
    </w:p>
    <w:p w:rsidR="00000000" w:rsidRPr="001B0AAE" w:rsidP="001B0AAE">
      <w:pPr>
        <w:pStyle w:val="AllowPageBreak"/>
      </w:pPr>
    </w:p>
    <w:p w:rsidR="00000000" w:rsidRPr="001B0AAE" w:rsidP="001B0AAE">
      <w:pPr>
        <w:pStyle w:val="Heading1"/>
      </w:pPr>
      <w:bookmarkStart w:id="2" w:name="O_1005006"/>
      <w:bookmarkEnd w:id="2"/>
      <w:r w:rsidRPr="001B0AAE">
        <w:t>Application</w:t>
      </w:r>
    </w:p>
    <w:tbl>
      <w:tblPr>
        <w:tblW w:w="9497" w:type="dxa"/>
        <w:tblLayout w:type="fixed"/>
        <w:tblCellMar>
          <w:left w:w="62" w:type="dxa"/>
          <w:right w:w="62" w:type="dxa"/>
        </w:tblCellMar>
        <w:tblLook w:val="0000"/>
      </w:tblPr>
      <w:tblGrid>
        <w:gridCol w:w="9497"/>
      </w:tblGrid>
      <w:tr w:rsidTr="001B0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t>This unit covers the preparation of crisis manag</w:t>
            </w:r>
            <w:r w:rsidRPr="001B0AAE">
              <w:t>ement plans, which can be implemented following the loss of one or more items of plant. This unit involves the activities associated with the assessment of risk, the probability of failure, the consequences of failure and the plant and/or network loads tha</w:t>
            </w:r>
            <w:r w:rsidRPr="001B0AAE">
              <w:t>t will result according to established enterprise procedures.</w:t>
            </w:r>
          </w:p>
          <w:p w:rsidR="00000000" w:rsidRPr="001B0AAE" w:rsidP="001B0AAE">
            <w:pPr>
              <w:pStyle w:val="BodyText"/>
            </w:pPr>
            <w:r w:rsidRPr="001B0AAE">
              <w:t xml:space="preserve">The application of the skills and knowledge described in this unit may require a licence/registration to practice in the workplace subject to regulations for undertaking of electrical work.  </w:t>
            </w:r>
          </w:p>
          <w:p w:rsidR="00000000" w:rsidRPr="001B0AAE" w:rsidP="001B0AAE">
            <w:pPr>
              <w:pStyle w:val="BodyText"/>
            </w:pPr>
            <w:r w:rsidRPr="001B0AAE">
              <w:t>Ot</w:t>
            </w:r>
            <w:r w:rsidRPr="001B0AAE">
              <w:t>her conditions may apply under state and territory legislative and regulatory licencing requirements which must be confirmed prior to commencing this unit.</w:t>
            </w:r>
          </w:p>
        </w:tc>
      </w:tr>
    </w:tbl>
    <w:p w:rsidR="00000000" w:rsidRPr="001B0AAE" w:rsidP="001B0AAE">
      <w:pPr>
        <w:pStyle w:val="NoPaddingFontSize1"/>
      </w:pPr>
    </w:p>
    <w:p w:rsidR="00000000" w:rsidRPr="001B0AAE" w:rsidP="001B0AAE">
      <w:pPr>
        <w:pStyle w:val="AllowPageBreak"/>
      </w:pPr>
    </w:p>
    <w:p w:rsidR="00000000" w:rsidRPr="001B0AAE" w:rsidP="001B0AAE">
      <w:pPr>
        <w:pStyle w:val="Heading1"/>
      </w:pPr>
      <w:bookmarkStart w:id="3" w:name="O_1005007"/>
      <w:bookmarkEnd w:id="3"/>
      <w:r w:rsidRPr="001B0AAE">
        <w:t>Pre-requisite Unit</w:t>
      </w:r>
    </w:p>
    <w:tbl>
      <w:tblPr>
        <w:tblW w:w="9497" w:type="dxa"/>
        <w:tblLayout w:type="fixed"/>
        <w:tblCellMar>
          <w:left w:w="62" w:type="dxa"/>
          <w:right w:w="62" w:type="dxa"/>
        </w:tblCellMar>
        <w:tblLook w:val="0000"/>
      </w:tblPr>
      <w:tblGrid>
        <w:gridCol w:w="9497"/>
      </w:tblGrid>
      <w:tr w:rsidTr="001B0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t>All competencies in the Common Unit Group must have been com</w:t>
            </w:r>
            <w:r w:rsidRPr="001B0AAE">
              <w:t xml:space="preserve">pleted, plus all competencies in one (1) of the identified Pathway Unit Group(s). </w:t>
            </w:r>
          </w:p>
          <w:p w:rsidR="00000000" w:rsidRPr="001B0AAE" w:rsidP="001B0AAE">
            <w:pPr>
              <w:pStyle w:val="BodyText"/>
            </w:pPr>
            <w:r w:rsidRPr="001B0AAE">
              <w:t>Common Unit Group</w:t>
            </w:r>
          </w:p>
          <w:p w:rsidR="00000000" w:rsidRPr="001B0AAE" w:rsidP="001B0AAE">
            <w:pPr>
              <w:pStyle w:val="BodyText"/>
            </w:pPr>
            <w:r w:rsidRPr="001B0AAE">
              <w:t>UEENEED104A Use engineering applications software on personal computers</w:t>
            </w:r>
          </w:p>
          <w:p w:rsidR="00000000" w:rsidRPr="001B0AAE" w:rsidP="001B0AAE">
            <w:pPr>
              <w:pStyle w:val="BodyText"/>
            </w:pPr>
            <w:r w:rsidRPr="001B0AAE">
              <w:t>UEENEEE101A Apply Occupational Health and Safety regulations, codes and practices i</w:t>
            </w:r>
            <w:r w:rsidRPr="001B0AAE">
              <w:t>n the workplace</w:t>
            </w:r>
          </w:p>
          <w:p w:rsidR="00000000" w:rsidRPr="001B0AAE" w:rsidP="001B0AAE">
            <w:pPr>
              <w:pStyle w:val="BodyText"/>
            </w:pPr>
            <w:r w:rsidRPr="001B0AAE">
              <w:t>UEENEEE102A Fabricate, assemble and dismantle utilities industry components</w:t>
            </w:r>
          </w:p>
          <w:p w:rsidR="00000000" w:rsidRPr="001B0AAE" w:rsidP="001B0AAE">
            <w:pPr>
              <w:pStyle w:val="BodyText"/>
            </w:pPr>
            <w:r w:rsidRPr="001B0AAE">
              <w:t>UEENEEE104A Solve problems in d.c. circuits</w:t>
            </w:r>
          </w:p>
          <w:p w:rsidR="00000000" w:rsidRPr="001B0AAE" w:rsidP="001B0AAE">
            <w:pPr>
              <w:pStyle w:val="BodyText"/>
            </w:pPr>
            <w:r w:rsidRPr="001B0AAE">
              <w:t>UEENEEE107A Use drawings, diagrams, schedules, standards, codes and specifications</w:t>
            </w:r>
          </w:p>
          <w:p w:rsidR="00000000" w:rsidRPr="001B0AAE" w:rsidP="001B0AAE">
            <w:pPr>
              <w:pStyle w:val="BodyText"/>
            </w:pPr>
            <w:r w:rsidRPr="001B0AAE">
              <w:t>UEENEEE124A Compile and produce an en</w:t>
            </w:r>
            <w:r w:rsidRPr="001B0AAE">
              <w:t>ergy sector detailed report</w:t>
            </w:r>
          </w:p>
          <w:p w:rsidR="00000000" w:rsidRPr="001B0AAE" w:rsidP="001B0AAE">
            <w:pPr>
              <w:pStyle w:val="BodyText"/>
            </w:pPr>
            <w:r w:rsidRPr="001B0AAE">
              <w:t>UEENEEE125A Provide engineering solutions for problems in complex multiple path circuits</w:t>
            </w:r>
          </w:p>
          <w:p w:rsidR="00000000" w:rsidRPr="001B0AAE" w:rsidP="001B0AAE">
            <w:pPr>
              <w:pStyle w:val="BodyText"/>
            </w:pPr>
            <w:r w:rsidRPr="001B0AAE">
              <w:t>UEENEEE126A Provide solutions to basic engineering computational problems</w:t>
            </w:r>
          </w:p>
          <w:p w:rsidR="00000000" w:rsidRPr="001B0AAE" w:rsidP="001B0AAE">
            <w:pPr>
              <w:pStyle w:val="BodyText"/>
            </w:pPr>
            <w:r w:rsidRPr="001B0AAE">
              <w:t>UEENEEG101A Solve problems in electromagnetic devices and related circuits</w:t>
            </w:r>
          </w:p>
          <w:p w:rsidR="00000000" w:rsidRPr="001B0AAE" w:rsidP="001B0AAE">
            <w:pPr>
              <w:pStyle w:val="BodyText"/>
            </w:pPr>
            <w:r w:rsidRPr="001B0AAE">
              <w:t>UEENEEG102A Solve problems in low voltage a.c. circuits</w:t>
            </w:r>
          </w:p>
          <w:p w:rsidR="00000000" w:rsidRPr="001B0AAE" w:rsidP="001B0AAE">
            <w:pPr>
              <w:pStyle w:val="BodyText"/>
            </w:pPr>
            <w:r w:rsidRPr="001B0AAE">
              <w:t>UEENEEG149A Provide engineering solutions to problems in complex polyphase power circuits</w:t>
            </w:r>
          </w:p>
          <w:p w:rsidR="00000000" w:rsidRPr="001B0AAE" w:rsidP="001B0AAE">
            <w:pPr>
              <w:pStyle w:val="BodyText"/>
            </w:pPr>
            <w:r w:rsidRPr="001B0AAE">
              <w:t>UETTDREL11 Apply sustainable energy</w:t>
            </w:r>
            <w:r w:rsidRPr="001B0AAE">
              <w:t xml:space="preserve"> and environmental procedures</w:t>
            </w:r>
          </w:p>
          <w:p w:rsidR="00000000" w:rsidRPr="001B0AAE" w:rsidP="001B0AAE">
            <w:pPr>
              <w:pStyle w:val="BodyText"/>
            </w:pPr>
            <w:r w:rsidRPr="001B0AAE">
              <w:t>UETTDREL16 Working safely near live electrical apparatus</w:t>
            </w:r>
          </w:p>
          <w:p w:rsidR="00000000" w:rsidRPr="001B0AAE" w:rsidP="001B0AAE">
            <w:pPr>
              <w:pStyle w:val="BodyText"/>
            </w:pPr>
            <w:r w:rsidRPr="001B0AAE">
              <w:t>UETTDRIS62 Implement and monitor the power system organisational WHS/OHS policies, procedures and programs</w:t>
            </w:r>
          </w:p>
          <w:p w:rsidR="00000000" w:rsidRPr="001B0AAE" w:rsidP="001B0AAE">
            <w:pPr>
              <w:pStyle w:val="BodyText"/>
            </w:pPr>
            <w:r w:rsidRPr="001B0AAE">
              <w:t>UETTDRIS63 Implement &amp; monitor power system environmental &amp; su</w:t>
            </w:r>
            <w:r w:rsidRPr="001B0AAE">
              <w:t>stainable energy management policies &amp; procedures</w:t>
            </w:r>
          </w:p>
          <w:p w:rsidR="00000000" w:rsidRPr="001B0AAE" w:rsidP="001B0AAE">
            <w:pPr>
              <w:pStyle w:val="BodyText"/>
            </w:pPr>
            <w:r w:rsidRPr="001B0AAE">
              <w:t>UETTDRSO32 Manage power systems network faults</w:t>
            </w:r>
          </w:p>
          <w:p w:rsidR="00000000" w:rsidRPr="001B0AAE" w:rsidP="001B0AAE">
            <w:pPr>
              <w:pStyle w:val="BodyText"/>
            </w:pPr>
            <w:r w:rsidRPr="001B0AAE">
              <w:t>UETTDRSO33 Manage power systems critical events</w:t>
            </w:r>
          </w:p>
          <w:p w:rsidR="00000000" w:rsidRPr="001B0AAE" w:rsidP="001B0AAE">
            <w:pPr>
              <w:pStyle w:val="BodyText"/>
            </w:pPr>
            <w:r w:rsidRPr="001B0AAE">
              <w:t>UETTDRSO41 Manage power systems transmission networks</w:t>
            </w:r>
          </w:p>
          <w:p w:rsidR="00000000" w:rsidRPr="001B0AAE" w:rsidP="001B0AAE">
            <w:pPr>
              <w:pStyle w:val="BodyText"/>
            </w:pPr>
            <w:r w:rsidRPr="001B0AAE">
              <w:t>UETTDRSO48 Respond to discrete and interdependent protect</w:t>
            </w:r>
            <w:r w:rsidRPr="001B0AAE">
              <w:t>ion operations</w:t>
            </w:r>
          </w:p>
          <w:p w:rsidR="00000000" w:rsidRPr="001B0AAE" w:rsidP="001B0AAE">
            <w:pPr>
              <w:pStyle w:val="BodyText"/>
            </w:pPr>
            <w:r w:rsidRPr="001B0AAE">
              <w:t>UETTDRSO49 Coordinate power system operations in a regulated energy market</w:t>
            </w:r>
          </w:p>
          <w:p w:rsidR="00000000" w:rsidRPr="001B0AAE" w:rsidP="001B0AAE">
            <w:pPr>
              <w:pStyle w:val="BodyText"/>
            </w:pPr>
            <w:r w:rsidRPr="001B0AAE">
              <w:t>UETTDRSO50 Respond to complex power system protection operations</w:t>
            </w:r>
          </w:p>
          <w:p w:rsidR="00000000" w:rsidRPr="001B0AAE" w:rsidP="001B0AAE">
            <w:pPr>
              <w:pStyle w:val="BodyText"/>
            </w:pPr>
            <w:r w:rsidRPr="001B0AAE">
              <w:t>Generation/Distribution and Sub-transmission Pathway Unit Group</w:t>
            </w:r>
          </w:p>
          <w:p w:rsidR="00000000" w:rsidRPr="001B0AAE" w:rsidP="001B0AAE">
            <w:pPr>
              <w:pStyle w:val="BodyText"/>
            </w:pPr>
            <w:r w:rsidRPr="001B0AAE">
              <w:t>UETTDRSO34 Control power systems gene</w:t>
            </w:r>
            <w:r w:rsidRPr="001B0AAE">
              <w:t>rating plant</w:t>
            </w:r>
          </w:p>
          <w:p w:rsidR="00000000" w:rsidRPr="001B0AAE" w:rsidP="001B0AAE">
            <w:pPr>
              <w:pStyle w:val="BodyText"/>
            </w:pPr>
            <w:r w:rsidRPr="001B0AAE">
              <w:t>UETTDRSO37 Develop high voltage distribution and sub-transmission switching programs</w:t>
            </w:r>
          </w:p>
          <w:p w:rsidR="00000000" w:rsidRPr="001B0AAE" w:rsidP="001B0AAE">
            <w:pPr>
              <w:pStyle w:val="BodyText"/>
            </w:pPr>
            <w:r w:rsidRPr="001B0AAE">
              <w:t>UETTDRSO40 Coordinate high voltage distribution and sub-transmission networks</w:t>
            </w:r>
          </w:p>
          <w:p w:rsidR="00000000" w:rsidRPr="001B0AAE" w:rsidP="001B0AAE">
            <w:pPr>
              <w:pStyle w:val="BodyText"/>
            </w:pPr>
            <w:r w:rsidRPr="001B0AAE">
              <w:t>Generation/Transmission Pathway Unit Group</w:t>
            </w:r>
          </w:p>
          <w:p w:rsidR="00000000" w:rsidRPr="001B0AAE" w:rsidP="001B0AAE">
            <w:pPr>
              <w:pStyle w:val="BodyText"/>
            </w:pPr>
            <w:r w:rsidRPr="001B0AAE">
              <w:t>UETTDRSO34 Control power systems gene</w:t>
            </w:r>
            <w:r w:rsidRPr="001B0AAE">
              <w:t>rating plant</w:t>
            </w:r>
          </w:p>
          <w:p w:rsidR="00000000" w:rsidRPr="001B0AAE" w:rsidP="001B0AAE">
            <w:pPr>
              <w:pStyle w:val="BodyText"/>
            </w:pPr>
            <w:r w:rsidRPr="001B0AAE">
              <w:t>UETTDRSO38 Develop and evaluate power systems transmission switching programs</w:t>
            </w:r>
          </w:p>
          <w:p w:rsidR="00000000" w:rsidRPr="001B0AAE" w:rsidP="001B0AAE">
            <w:pPr>
              <w:pStyle w:val="BodyText"/>
            </w:pPr>
            <w:r w:rsidRPr="001B0AAE">
              <w:t>UETTDRSO47 Coordinate high voltage transmission network</w:t>
            </w:r>
          </w:p>
          <w:p w:rsidR="00000000" w:rsidRPr="001B0AAE" w:rsidP="001B0AAE">
            <w:pPr>
              <w:pStyle w:val="BodyText"/>
            </w:pPr>
            <w:r w:rsidRPr="001B0AAE">
              <w:t>Distribution and Sub-transmission Pathway Unit Group</w:t>
            </w:r>
          </w:p>
          <w:p w:rsidR="00000000" w:rsidRPr="001B0AAE" w:rsidP="001B0AAE">
            <w:pPr>
              <w:pStyle w:val="BodyText"/>
            </w:pPr>
            <w:r w:rsidRPr="001B0AAE">
              <w:t>UETTDRSO35 Manage high voltage distribution and sub-tran</w:t>
            </w:r>
            <w:r w:rsidRPr="001B0AAE">
              <w:t>smission network demand</w:t>
            </w:r>
          </w:p>
          <w:p w:rsidR="00000000" w:rsidRPr="001B0AAE" w:rsidP="001B0AAE">
            <w:pPr>
              <w:pStyle w:val="BodyText"/>
            </w:pPr>
            <w:r w:rsidRPr="001B0AAE">
              <w:t>UETTDRSO37 Develop high voltage distribution and sub-transmission switching programs</w:t>
            </w:r>
          </w:p>
          <w:p w:rsidR="00000000" w:rsidRPr="001B0AAE" w:rsidP="001B0AAE">
            <w:pPr>
              <w:pStyle w:val="BodyText"/>
            </w:pPr>
            <w:r w:rsidRPr="001B0AAE">
              <w:t>UETTDRSO40 Coordinate high voltage distribution and sub-transmission networks</w:t>
            </w:r>
          </w:p>
          <w:p w:rsidR="00000000" w:rsidRPr="001B0AAE" w:rsidP="001B0AAE">
            <w:pPr>
              <w:pStyle w:val="BodyText"/>
            </w:pPr>
            <w:r w:rsidRPr="001B0AAE">
              <w:t>Transmission Pathway Unit Group</w:t>
            </w:r>
          </w:p>
          <w:p w:rsidR="00000000" w:rsidRPr="001B0AAE" w:rsidP="001B0AAE">
            <w:pPr>
              <w:pStyle w:val="BodyText"/>
            </w:pPr>
            <w:r w:rsidRPr="001B0AAE">
              <w:t>UETTDRSO38 Develop and evaluate power systems transmission switching programs</w:t>
            </w:r>
          </w:p>
          <w:p w:rsidR="00000000" w:rsidRPr="001B0AAE" w:rsidP="001B0AAE">
            <w:pPr>
              <w:pStyle w:val="BodyText"/>
            </w:pPr>
            <w:r w:rsidRPr="001B0AAE">
              <w:t>UETTDRSO41 Manage power systems transmission networks</w:t>
            </w:r>
          </w:p>
          <w:p w:rsidR="00000000" w:rsidRPr="001B0AAE" w:rsidP="001B0AAE">
            <w:pPr>
              <w:pStyle w:val="BodyText"/>
            </w:pPr>
            <w:r w:rsidRPr="001B0AAE">
              <w:t>UETTDRSO42 Manage power systems transmission network demand</w:t>
            </w:r>
          </w:p>
          <w:p w:rsidR="00000000" w:rsidRPr="001B0AAE" w:rsidP="001B0AAE">
            <w:pPr>
              <w:pStyle w:val="BodyText"/>
            </w:pPr>
            <w:r w:rsidRPr="001B0AAE">
              <w:t>UETTDRSO47 Coordinate high voltage transmission network</w:t>
            </w:r>
          </w:p>
        </w:tc>
      </w:tr>
    </w:tbl>
    <w:p w:rsidR="00000000" w:rsidRPr="001B0AAE" w:rsidP="001B0AAE">
      <w:pPr>
        <w:pStyle w:val="NoPaddingFontSize1"/>
      </w:pPr>
    </w:p>
    <w:p w:rsidR="00000000" w:rsidRPr="001B0AAE" w:rsidP="001B0AAE">
      <w:pPr>
        <w:pStyle w:val="AllowPageBreak"/>
      </w:pPr>
    </w:p>
    <w:p w:rsidR="00000000" w:rsidRPr="001B0AAE" w:rsidP="001B0AAE">
      <w:pPr>
        <w:pStyle w:val="Heading1"/>
      </w:pPr>
      <w:bookmarkStart w:id="4" w:name="O_1005008"/>
      <w:bookmarkEnd w:id="4"/>
      <w:r w:rsidRPr="001B0AAE">
        <w:t>Competency Field</w:t>
      </w:r>
    </w:p>
    <w:tbl>
      <w:tblPr>
        <w:tblW w:w="9497" w:type="dxa"/>
        <w:tblLayout w:type="fixed"/>
        <w:tblCellMar>
          <w:left w:w="62" w:type="dxa"/>
          <w:right w:w="62" w:type="dxa"/>
        </w:tblCellMar>
        <w:tblLook w:val="0000"/>
      </w:tblPr>
      <w:tblGrid>
        <w:gridCol w:w="9497"/>
      </w:tblGrid>
      <w:tr w:rsidTr="001B0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t>System Operations</w:t>
            </w:r>
          </w:p>
        </w:tc>
      </w:tr>
    </w:tbl>
    <w:p w:rsidR="00000000" w:rsidRPr="001B0AAE" w:rsidP="001B0AAE">
      <w:pPr>
        <w:pStyle w:val="NoPaddingFontSize1"/>
      </w:pPr>
    </w:p>
    <w:p w:rsidR="00000000" w:rsidRPr="001B0AAE" w:rsidP="001B0AAE">
      <w:pPr>
        <w:pStyle w:val="AllowPageBreak"/>
      </w:pPr>
    </w:p>
    <w:p w:rsidR="00000000" w:rsidRPr="001B0AAE" w:rsidP="001B0AAE">
      <w:pPr>
        <w:pStyle w:val="Heading1"/>
      </w:pPr>
      <w:bookmarkStart w:id="5" w:name="O_1005009"/>
      <w:bookmarkEnd w:id="5"/>
      <w:r w:rsidRPr="001B0AAE">
        <w:t>Unit Sector</w:t>
      </w:r>
    </w:p>
    <w:tbl>
      <w:tblPr>
        <w:tblW w:w="9497" w:type="dxa"/>
        <w:tblLayout w:type="fixed"/>
        <w:tblCellMar>
          <w:left w:w="62" w:type="dxa"/>
          <w:right w:w="62" w:type="dxa"/>
        </w:tblCellMar>
        <w:tblLook w:val="0000"/>
      </w:tblPr>
      <w:tblGrid>
        <w:gridCol w:w="9497"/>
      </w:tblGrid>
      <w:tr w:rsidTr="001B0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t>Not applicable.</w:t>
            </w:r>
          </w:p>
        </w:tc>
      </w:tr>
    </w:tbl>
    <w:p w:rsidR="00000000" w:rsidRPr="001B0AAE" w:rsidP="001B0AAE">
      <w:pPr>
        <w:pStyle w:val="NoPaddingFontSize1"/>
      </w:pPr>
    </w:p>
    <w:p w:rsidR="00000000" w:rsidRPr="001B0AAE" w:rsidP="001B0AAE">
      <w:pPr>
        <w:pStyle w:val="AllowPageBreak"/>
      </w:pPr>
    </w:p>
    <w:p w:rsidR="00000000" w:rsidRPr="001B0AAE" w:rsidP="001B0AAE">
      <w:pPr>
        <w:pStyle w:val="Heading1"/>
      </w:pPr>
      <w:bookmarkStart w:id="6" w:name="O_1005010"/>
      <w:bookmarkEnd w:id="6"/>
      <w:r w:rsidRPr="001B0AA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B0AA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PERFORMANCE CRITERIA</w:t>
            </w:r>
          </w:p>
        </w:tc>
      </w:tr>
      <w:tr w:rsidTr="001B0AA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Performance criteria describe the performance needed to demonstrate achievement of the element.</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rPr>
                <w:rStyle w:val="SpecialBold"/>
              </w:rPr>
              <w:t>Plan for the development of crisis management plans</w:t>
            </w: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Work health and safety (WHS)/occupational health and safety (OHS) practices/procedures and environm</w:t>
            </w:r>
            <w:r w:rsidRPr="001B0AAE">
              <w:t>ental and sustainable energy procedures which may influence the development of crisis management plans systems are reviewed and determined</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Purpose of the development of crisis management plans is established after data is analysed and expected outco</w:t>
            </w:r>
            <w:r w:rsidRPr="001B0AAE">
              <w:t>mes of the work are confirmed with appropriate personnel</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Organisational established procedures on policies and specifications for the development of crisis management plans are obtained or established with appropriate personnel</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Testing procedures are discussed with/directed to appropriate personnel in order to ascertain the project brief</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Testing parameters are established from organisational established procedures on policies and specifications</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Equipment/tools and p</w:t>
            </w:r>
            <w:r w:rsidRPr="001B0AAE">
              <w:t>ersonal protective equipment (PPE) are selected based on specified performance criteria and established procedures</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Work roles and tasks are allocated according to requirements and individual competencies</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Work is prioritised and sequenced for the most efficient/effective outcome, completed within an acceptable timeframe, to a quality standard and in accordance with established procedures</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Liaison and communication issues with others/authorised personn</w:t>
            </w:r>
            <w:r w:rsidRPr="001B0AAE">
              <w:t>el, authorities, clients and land owners are resolved and activities coordinated to carry out work</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Risk control measures are identified, prioritised and evaluated against the work schedule</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Relevant work permits are secured to coordinate the performance of work according to requirements and/or established procedures</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rPr>
                <w:rStyle w:val="SpecialBold"/>
              </w:rPr>
              <w:t>Carry out the development of crisis management plans</w:t>
            </w: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Circuit/systems modelling is used to evaluate alternative proposals in accordance with established procedures</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WHS/OHS and sustainable energy principles, functionality and practices to reduce the incidents of accidents and minimise waste are incorpor</w:t>
            </w:r>
            <w:r w:rsidRPr="001B0AAE">
              <w:t>ated into the project in accordance with requirements and/or established procedures</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Development of crisis management plan decisions are made on the basis of safety and effective outcomes according to requirements and/or established procedures</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Mathematical and/or engineering models of the development are used to analyse the effectiveness of the finished project in accordance with requirements and established procedures</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Technical advice is given regarding potential hazards, safety risks and control measures so that monitoring and preventative action can be undertaken and/or appropriate authorities consulted, where necessary, in accordance with requirements and established</w:t>
            </w:r>
            <w:r w:rsidRPr="001B0AAE">
              <w:t xml:space="preserve"> procedures</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Essential knowledge and associated skills are applied to analyse specific data and compare it with compliance specifications to ensure completion of the project within an agreed timeframe according to requirements</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Testing of crisi</w:t>
            </w:r>
            <w:r w:rsidRPr="001B0AAE">
              <w:t>s development plans is undertaken according to requirements and established procedures</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Work teams/groups are arranged/coordinated/evaluated to ensure planned goals are met according to established procedures</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Solutions to non-routine problems are identified and actioned, using acquired essential knowledge and associated skills, according to requirements</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Quality of work is monitored against personal performance agreement and/or established organisational</w:t>
            </w:r>
            <w:r w:rsidRPr="001B0AAE">
              <w:t xml:space="preserve"> and professional standards</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Strategic plans are developed incorporating organisation initiatives in accordance with established procedures</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rPr>
                <w:rStyle w:val="SpecialBold"/>
              </w:rPr>
              <w:t>Complete the development of crisis management plans</w:t>
            </w: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Final review of the crisis management plans is und</w:t>
            </w:r>
            <w:r w:rsidRPr="001B0AAE">
              <w:t>ertaken to ensure they comply with all requirements and include all specifications and documentations needed to complete the project</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Appropriate personnel are notified of completion and reports and/or completion documents are finalised/commissioned</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Reports and/or completion documents are submitted to relevant personnel/organisations for approval and, where applicable, statutory or regulatory approval</w:t>
            </w:r>
          </w:p>
        </w:tc>
      </w:tr>
      <w:tr w:rsidTr="001B0A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0A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t>Approved copies of the developed crisis management plan documents are issued and record</w:t>
            </w:r>
            <w:r w:rsidRPr="001B0AAE">
              <w:t>s updated in accordance with established procedures</w:t>
            </w:r>
          </w:p>
        </w:tc>
      </w:tr>
    </w:tbl>
    <w:p w:rsidR="00000000" w:rsidRPr="001B0AAE" w:rsidP="001B0AAE">
      <w:pPr>
        <w:pStyle w:val="NoPaddingFontSize1"/>
      </w:pPr>
    </w:p>
    <w:p w:rsidR="00000000" w:rsidRPr="001B0AAE" w:rsidP="001B0AAE">
      <w:pPr>
        <w:pStyle w:val="AllowPageBreak"/>
      </w:pPr>
    </w:p>
    <w:p w:rsidR="00000000" w:rsidRPr="001B0AAE" w:rsidP="001B0AAE">
      <w:pPr>
        <w:pStyle w:val="Heading1"/>
      </w:pPr>
      <w:bookmarkStart w:id="7" w:name="O_1005011"/>
      <w:bookmarkEnd w:id="7"/>
      <w:r w:rsidRPr="001B0AAE">
        <w:t>Foundation Skills</w:t>
      </w:r>
    </w:p>
    <w:tbl>
      <w:tblPr>
        <w:tblW w:w="9497" w:type="dxa"/>
        <w:tblLayout w:type="fixed"/>
        <w:tblCellMar>
          <w:left w:w="62" w:type="dxa"/>
          <w:right w:w="62" w:type="dxa"/>
        </w:tblCellMar>
        <w:tblLook w:val="0000"/>
      </w:tblPr>
      <w:tblGrid>
        <w:gridCol w:w="9497"/>
      </w:tblGrid>
      <w:tr w:rsidTr="001B0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t>Foundation skills essential to performance are explicit in the performance criteria of this unit of competency.</w:t>
            </w:r>
          </w:p>
        </w:tc>
      </w:tr>
    </w:tbl>
    <w:p w:rsidR="00000000" w:rsidRPr="001B0AAE" w:rsidP="001B0AAE">
      <w:pPr>
        <w:pStyle w:val="NoPaddingFontSize1"/>
      </w:pPr>
    </w:p>
    <w:p w:rsidR="00000000" w:rsidRPr="001B0AAE" w:rsidP="001B0AAE">
      <w:pPr>
        <w:pStyle w:val="AllowPageBreak"/>
      </w:pPr>
    </w:p>
    <w:p w:rsidR="00000000" w:rsidRPr="001B0AAE" w:rsidP="001B0AAE">
      <w:pPr>
        <w:pStyle w:val="Heading1"/>
      </w:pPr>
      <w:bookmarkStart w:id="8" w:name="O_1005012"/>
      <w:bookmarkEnd w:id="8"/>
      <w:r w:rsidRPr="001B0AAE">
        <w:t>Range of Conditions</w:t>
      </w:r>
    </w:p>
    <w:tbl>
      <w:tblPr>
        <w:tblW w:w="9497" w:type="dxa"/>
        <w:tblLayout w:type="fixed"/>
        <w:tblCellMar>
          <w:left w:w="62" w:type="dxa"/>
          <w:right w:w="62" w:type="dxa"/>
        </w:tblCellMar>
        <w:tblLook w:val="0000"/>
      </w:tblPr>
      <w:tblGrid>
        <w:gridCol w:w="9497"/>
      </w:tblGrid>
      <w:tr w:rsidTr="001B0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t>Range is restricted to essential operating conditions and any other variables essential to the work environment.</w:t>
            </w:r>
          </w:p>
          <w:p w:rsidR="00000000" w:rsidRPr="001B0AAE" w:rsidP="001B0AAE">
            <w:pPr>
              <w:pStyle w:val="BodyText"/>
            </w:pPr>
            <w:r w:rsidRPr="001B0AAE">
              <w:t>Non-essential conditions may be found in the Companion Volume Implementation Guide.</w:t>
            </w:r>
          </w:p>
        </w:tc>
      </w:tr>
    </w:tbl>
    <w:p w:rsidR="00000000" w:rsidRPr="001B0AAE" w:rsidP="001B0AAE">
      <w:pPr>
        <w:pStyle w:val="NoPaddingFontSize1"/>
      </w:pPr>
    </w:p>
    <w:p w:rsidR="00000000" w:rsidRPr="001B0AAE" w:rsidP="001B0AAE">
      <w:pPr>
        <w:pStyle w:val="AllowPageBreak"/>
      </w:pPr>
    </w:p>
    <w:p w:rsidR="00000000" w:rsidRPr="001B0AAE" w:rsidP="001B0AAE">
      <w:pPr>
        <w:pStyle w:val="Heading1"/>
      </w:pPr>
      <w:bookmarkStart w:id="9" w:name="O_1005013"/>
      <w:bookmarkEnd w:id="9"/>
      <w:r w:rsidRPr="001B0AAE">
        <w:t>Unit Mapping Information</w:t>
      </w:r>
    </w:p>
    <w:tbl>
      <w:tblPr>
        <w:tblW w:w="9497" w:type="dxa"/>
        <w:tblLayout w:type="fixed"/>
        <w:tblCellMar>
          <w:left w:w="62" w:type="dxa"/>
          <w:right w:w="62" w:type="dxa"/>
        </w:tblCellMar>
        <w:tblLook w:val="0000"/>
      </w:tblPr>
      <w:tblGrid>
        <w:gridCol w:w="9497"/>
      </w:tblGrid>
      <w:tr w:rsidTr="001B0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t>This unit rep</w:t>
            </w:r>
            <w:r w:rsidRPr="001B0AAE">
              <w:t>laces and is equivalent to UETTDRSO44A Develop crisis power systems management plans.</w:t>
            </w:r>
          </w:p>
        </w:tc>
      </w:tr>
    </w:tbl>
    <w:p w:rsidR="00000000" w:rsidRPr="001B0AAE" w:rsidP="001B0AAE">
      <w:pPr>
        <w:pStyle w:val="NoPaddingFontSize1"/>
      </w:pPr>
    </w:p>
    <w:p w:rsidR="00000000" w:rsidRPr="001B0AAE" w:rsidP="001B0AAE">
      <w:pPr>
        <w:pStyle w:val="AllowPageBreak"/>
      </w:pPr>
    </w:p>
    <w:p w:rsidR="00000000" w:rsidRPr="001B0AAE" w:rsidP="001B0AAE">
      <w:pPr>
        <w:pStyle w:val="Heading1"/>
      </w:pPr>
      <w:bookmarkStart w:id="10" w:name="O_1005020"/>
      <w:bookmarkEnd w:id="10"/>
      <w:r w:rsidRPr="001B0AAE">
        <w:t>Links</w:t>
      </w:r>
    </w:p>
    <w:p w:rsidR="00000000" w:rsidRPr="001B0AAE" w:rsidP="00A83907">
      <w:pPr>
        <w:pStyle w:val="BodyText"/>
      </w:pPr>
      <w:r w:rsidRPr="001B0AA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E1136">
        <w:rPr>
          <w:rStyle w:val="Hyperlink"/>
        </w:rPr>
        <w:t>https://vetnet.gov.au/Pages/TrainingDocs.aspx?q=229bace1-b7bc-4653-9300-dffb13ecfad7</w:t>
      </w:r>
      <w:r>
        <w:fldChar w:fldCharType="end"/>
      </w:r>
    </w:p>
    <w:p w:rsidR="00000000" w:rsidRPr="001B0AAE" w:rsidP="00A83907">
      <w:pPr>
        <w:pStyle w:val="BodyText"/>
        <w:sectPr w:rsidSect="001B0AAE">
          <w:headerReference w:type="default" r:id="rId10"/>
          <w:footerReference w:type="default" r:id="rId11"/>
          <w:pgSz w:w="11908" w:h="16833"/>
          <w:pgMar w:top="1702" w:right="1418" w:bottom="1702" w:left="1418" w:header="992" w:footer="992" w:gutter="0"/>
          <w:cols w:space="720"/>
          <w:noEndnote/>
          <w:docGrid w:linePitch="299"/>
        </w:sectPr>
      </w:pPr>
    </w:p>
    <w:p w:rsidR="00000000" w:rsidRPr="001B0AAE" w:rsidP="001B0AAE">
      <w:pPr>
        <w:pStyle w:val="SuperHeading"/>
      </w:pPr>
      <w:r w:rsidRPr="001B0AAE">
        <w:t>Assessment Requirements for UETTDRSO44 Develop crisis power systems management plans</w:t>
      </w:r>
    </w:p>
    <w:p w:rsidR="00000000" w:rsidRPr="001B0AAE" w:rsidP="001B0AAE">
      <w:pPr>
        <w:pStyle w:val="Heading1"/>
      </w:pPr>
      <w:bookmarkStart w:id="11" w:name="O_1005015"/>
      <w:bookmarkEnd w:id="11"/>
      <w:r w:rsidRPr="001B0AAE">
        <w:t>Modification History</w:t>
      </w:r>
    </w:p>
    <w:tbl>
      <w:tblPr>
        <w:tblW w:w="9497" w:type="dxa"/>
        <w:tblLayout w:type="fixed"/>
        <w:tblCellMar>
          <w:left w:w="62" w:type="dxa"/>
          <w:right w:w="62" w:type="dxa"/>
        </w:tblCellMar>
        <w:tblLook w:val="0000"/>
      </w:tblPr>
      <w:tblGrid>
        <w:gridCol w:w="9497"/>
      </w:tblGrid>
      <w:tr w:rsidTr="001B0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t>Release 1. This is the first release of this unit of competency in the UET Transmission, Distribution and Rail Sector Training Package.</w:t>
            </w:r>
          </w:p>
        </w:tc>
      </w:tr>
    </w:tbl>
    <w:p w:rsidR="00000000" w:rsidRPr="001B0AAE" w:rsidP="001B0AAE">
      <w:pPr>
        <w:pStyle w:val="NoPaddingFontSize1"/>
      </w:pPr>
    </w:p>
    <w:p w:rsidR="00000000" w:rsidRPr="001B0AAE" w:rsidP="001B0AAE">
      <w:pPr>
        <w:pStyle w:val="AllowPageBreak"/>
      </w:pPr>
    </w:p>
    <w:p w:rsidR="00000000" w:rsidRPr="001B0AAE" w:rsidP="001B0AAE">
      <w:pPr>
        <w:pStyle w:val="Heading1"/>
      </w:pPr>
      <w:bookmarkStart w:id="12" w:name="O_1005016"/>
      <w:bookmarkEnd w:id="12"/>
      <w:r w:rsidRPr="001B0AAE">
        <w:t>Performance Evidence</w:t>
      </w:r>
    </w:p>
    <w:tbl>
      <w:tblPr>
        <w:tblW w:w="9497" w:type="dxa"/>
        <w:tblLayout w:type="fixed"/>
        <w:tblCellMar>
          <w:left w:w="62" w:type="dxa"/>
          <w:right w:w="62" w:type="dxa"/>
        </w:tblCellMar>
        <w:tblLook w:val="0000"/>
      </w:tblPr>
      <w:tblGrid>
        <w:gridCol w:w="9497"/>
      </w:tblGrid>
      <w:tr w:rsidTr="001B0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Evidence required to demonstrate competence in this unit must be relevant to a</w:t>
            </w:r>
            <w:r w:rsidRPr="001B0AAE">
              <w:t xml:space="preserve">nd satisfy all of the requirements of the elements and performance criteria on at least two separate occasions and include:  </w:t>
            </w:r>
          </w:p>
        </w:tc>
      </w:tr>
      <w:tr w:rsidTr="001B0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AAE" w:rsidP="001B0AAE">
            <w:pPr>
              <w:pStyle w:val="ListBullet"/>
            </w:pPr>
            <w:r w:rsidRPr="001B0AAE">
              <w:t>applying relevant work health and safety (WHS)/occupational health and safety (OHS) requirements, including the use of risk cont</w:t>
            </w:r>
            <w:r w:rsidRPr="001B0AAE">
              <w:t>rol measures</w:t>
            </w:r>
          </w:p>
          <w:p w:rsidR="00000000" w:rsidRPr="001B0AAE" w:rsidP="001B0AAE">
            <w:pPr>
              <w:pStyle w:val="ListBullet"/>
            </w:pPr>
            <w:r w:rsidRPr="001B0AAE">
              <w:t>applying sustainable energy principles and practices</w:t>
            </w:r>
          </w:p>
          <w:p w:rsidR="00000000" w:rsidRPr="001B0AAE" w:rsidP="001B0AAE">
            <w:pPr>
              <w:pStyle w:val="ListBullet"/>
            </w:pPr>
            <w:r w:rsidRPr="001B0AAE">
              <w:t>developing crisis management plans, including all of the following:</w:t>
            </w:r>
          </w:p>
          <w:p w:rsidR="00000000" w:rsidRPr="001B0AAE" w:rsidP="001B0AAE">
            <w:pPr>
              <w:pStyle w:val="ListBullet2"/>
            </w:pPr>
            <w:r w:rsidRPr="001B0AAE">
              <w:t>identifying a crisis event</w:t>
            </w:r>
          </w:p>
          <w:p w:rsidR="00000000" w:rsidRPr="001B0AAE" w:rsidP="001B0AAE">
            <w:pPr>
              <w:pStyle w:val="ListBullet2"/>
            </w:pPr>
            <w:r w:rsidRPr="001B0AAE">
              <w:t>developing a plan to manage a crisis</w:t>
            </w:r>
          </w:p>
          <w:p w:rsidR="00000000" w:rsidRPr="001B0AAE" w:rsidP="001B0AAE">
            <w:pPr>
              <w:pStyle w:val="ListBullet2"/>
            </w:pPr>
            <w:r w:rsidRPr="001B0AAE">
              <w:t>formulating plans in order that the network be restored during and after the crisis</w:t>
            </w:r>
          </w:p>
          <w:p w:rsidR="00000000" w:rsidRPr="001B0AAE" w:rsidP="001B0AAE">
            <w:pPr>
              <w:pStyle w:val="ListBullet2"/>
            </w:pPr>
            <w:r w:rsidRPr="001B0AAE">
              <w:t>effectively liaising with operating authorities and field crews to develop and formulate achievable crisis management plans</w:t>
            </w:r>
          </w:p>
          <w:p w:rsidR="00000000" w:rsidRPr="001B0AAE" w:rsidP="001B0AAE">
            <w:pPr>
              <w:pStyle w:val="ListBullet2"/>
            </w:pPr>
            <w:r w:rsidRPr="001B0AAE">
              <w:t>documenting/debriefing actions that are required</w:t>
            </w:r>
            <w:r w:rsidRPr="001B0AAE">
              <w:t xml:space="preserve"> following an end of crisis situation</w:t>
            </w:r>
          </w:p>
          <w:p w:rsidR="00000000" w:rsidRPr="001B0AAE" w:rsidP="001B0AAE">
            <w:pPr>
              <w:pStyle w:val="ListBullet"/>
            </w:pPr>
            <w:r w:rsidRPr="001B0AAE">
              <w:t>dealing with unplanned events on at least one (1) occasion.</w:t>
            </w:r>
          </w:p>
        </w:tc>
      </w:tr>
    </w:tbl>
    <w:p w:rsidR="00000000" w:rsidRPr="001B0AAE" w:rsidP="001B0AAE">
      <w:pPr>
        <w:pStyle w:val="NoPaddingFontSize1"/>
      </w:pPr>
    </w:p>
    <w:p w:rsidR="00000000" w:rsidRPr="001B0AAE" w:rsidP="001B0AAE">
      <w:pPr>
        <w:pStyle w:val="AllowPageBreak"/>
      </w:pPr>
    </w:p>
    <w:p w:rsidR="00000000" w:rsidRPr="001B0AAE" w:rsidP="001B0AAE">
      <w:pPr>
        <w:pStyle w:val="Heading1"/>
      </w:pPr>
      <w:bookmarkStart w:id="13" w:name="O_1005017"/>
      <w:bookmarkEnd w:id="13"/>
      <w:r w:rsidRPr="001B0AAE">
        <w:t>Knowledge Evidence</w:t>
      </w:r>
    </w:p>
    <w:tbl>
      <w:tblPr>
        <w:tblW w:w="9497" w:type="dxa"/>
        <w:tblLayout w:type="fixed"/>
        <w:tblCellMar>
          <w:left w:w="62" w:type="dxa"/>
          <w:right w:w="62" w:type="dxa"/>
        </w:tblCellMar>
        <w:tblLook w:val="0000"/>
      </w:tblPr>
      <w:tblGrid>
        <w:gridCol w:w="9497"/>
      </w:tblGrid>
      <w:tr w:rsidTr="001B0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0AAE">
            <w:pPr>
              <w:pStyle w:val="BodyText"/>
              <w:rPr>
                <w:lang w:val="en-NZ"/>
              </w:rPr>
            </w:pPr>
            <w:r w:rsidRPr="001B0AAE">
              <w:t>Evidence required to demonstrate competence in this unit must be relevant to and satisfy all of the req</w:t>
            </w:r>
            <w:r w:rsidRPr="001B0AAE">
              <w:t>uirements of the elements and performance criteria and include knowledge of:</w:t>
            </w:r>
          </w:p>
        </w:tc>
      </w:tr>
      <w:tr w:rsidTr="001B0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AAE" w:rsidP="001B0AAE">
            <w:pPr>
              <w:pStyle w:val="ListBullet"/>
            </w:pPr>
            <w:r w:rsidRPr="001B0AAE">
              <w:t>enterprise-specific procedures and work practices relating to critical events encompassing:</w:t>
            </w:r>
          </w:p>
          <w:p w:rsidR="00000000" w:rsidRPr="001B0AAE" w:rsidP="001B0AAE">
            <w:pPr>
              <w:pStyle w:val="ListBullet2"/>
            </w:pPr>
            <w:r w:rsidRPr="001B0AAE">
              <w:t>Commonwealth/state/territory and local government legislation, supply authority regu</w:t>
            </w:r>
            <w:r w:rsidRPr="001B0AAE">
              <w:t>lations, standards, codes and/or enterprise requirements applicable to the procedures and work practices relating to critical events</w:t>
            </w:r>
          </w:p>
          <w:p w:rsidR="00000000" w:rsidRPr="001B0AAE" w:rsidP="001B0AAE">
            <w:pPr>
              <w:pStyle w:val="ListBullet2"/>
            </w:pPr>
            <w:r w:rsidRPr="001B0AAE">
              <w:t>requirements for the use of operational manuals, system diagrams/plans and drawings</w:t>
            </w:r>
          </w:p>
          <w:p w:rsidR="00000000" w:rsidRPr="001B0AAE" w:rsidP="001B0AAE">
            <w:pPr>
              <w:pStyle w:val="ListBullet2"/>
            </w:pPr>
            <w:r w:rsidRPr="001B0AAE">
              <w:t>identi</w:t>
            </w:r>
            <w:r w:rsidRPr="001B0AAE">
              <w:t>fying and interpreting enterprise operating procedures</w:t>
            </w:r>
          </w:p>
          <w:p w:rsidR="00000000" w:rsidRPr="001B0AAE" w:rsidP="001B0AAE">
            <w:pPr>
              <w:pStyle w:val="ListBullet2"/>
            </w:pPr>
            <w:r w:rsidRPr="001B0AAE">
              <w:t>techniques in the applying enterprise operating procedures</w:t>
            </w:r>
          </w:p>
          <w:p w:rsidR="00000000" w:rsidRPr="001B0AAE" w:rsidP="001B0AAE">
            <w:pPr>
              <w:pStyle w:val="ListBullet"/>
            </w:pPr>
            <w:r w:rsidRPr="001B0AAE">
              <w:t>methodology in analysing network event records encompassing:</w:t>
            </w:r>
          </w:p>
          <w:p w:rsidR="00000000" w:rsidRPr="001B0AAE" w:rsidP="001B0AAE">
            <w:pPr>
              <w:pStyle w:val="ListBullet2"/>
            </w:pPr>
            <w:r w:rsidRPr="001B0AAE">
              <w:t>Commonwealth/state/territory and local government legislation, supply authority</w:t>
            </w:r>
            <w:r w:rsidRPr="001B0AAE">
              <w:t xml:space="preserve"> regulations, standards, codes and/or enterprise requirements applicable to the analysis of critical events</w:t>
            </w:r>
          </w:p>
          <w:p w:rsidR="00000000" w:rsidRPr="001B0AAE" w:rsidP="001B0AAE">
            <w:pPr>
              <w:pStyle w:val="ListBullet2"/>
            </w:pPr>
            <w:r w:rsidRPr="001B0AAE">
              <w:t>requirements for the use of critical event data, manuals, system diagrams/plans and drawings</w:t>
            </w:r>
          </w:p>
          <w:p w:rsidR="00000000" w:rsidRPr="001B0AAE" w:rsidP="001B0AAE">
            <w:pPr>
              <w:pStyle w:val="ListBullet2"/>
            </w:pPr>
            <w:r w:rsidRPr="001B0AAE">
              <w:t>sources of critical event data</w:t>
            </w:r>
          </w:p>
          <w:p w:rsidR="00000000" w:rsidRPr="001B0AAE" w:rsidP="001B0AAE">
            <w:pPr>
              <w:pStyle w:val="ListBullet2"/>
            </w:pPr>
            <w:r w:rsidRPr="001B0AAE">
              <w:t>analyse and assess netwo</w:t>
            </w:r>
            <w:r w:rsidRPr="001B0AAE">
              <w:t>rk event records and relevant data - the use of event records and data to analyse and develop optimal network restoration strategies taking into account public and employee safety, enterprise reliability guidelines and resource availability</w:t>
            </w:r>
          </w:p>
          <w:p w:rsidR="00000000" w:rsidRPr="001B0AAE" w:rsidP="001B0AAE">
            <w:pPr>
              <w:pStyle w:val="ListBullet2"/>
            </w:pPr>
            <w:r w:rsidRPr="001B0AAE">
              <w:t>safety policies</w:t>
            </w:r>
            <w:r w:rsidRPr="001B0AAE">
              <w:t>, procedures and precautions related to critical events - WHS/OHS hazards and precautions; identification of WHS/OHS hazards; assessing and controlling risks; types, selection, maintenance, storage and uses of personnel protective equipment (PPE); checking</w:t>
            </w:r>
            <w:r w:rsidRPr="001B0AAE">
              <w:t xml:space="preserve"> integrity of the system for minimum disruption; effective communication methods and chain of command; and emergency response and rescue, including first aid procedures</w:t>
            </w:r>
          </w:p>
          <w:p w:rsidR="00000000" w:rsidRPr="001B0AAE" w:rsidP="001B0AAE">
            <w:pPr>
              <w:pStyle w:val="ListBullet"/>
            </w:pPr>
            <w:r w:rsidRPr="001B0AAE">
              <w:t>preparation of policies and procedures encompassing:</w:t>
            </w:r>
          </w:p>
          <w:p w:rsidR="00000000" w:rsidRPr="001B0AAE" w:rsidP="001B0AAE">
            <w:pPr>
              <w:pStyle w:val="ListBullet2"/>
            </w:pPr>
            <w:r w:rsidRPr="001B0AAE">
              <w:t>Commonwealth/state/territory and</w:t>
            </w:r>
            <w:r w:rsidRPr="001B0AAE">
              <w:t xml:space="preserve"> local government legislation, supply authority regulations, standards, codes and/or enterprise requirements applicable to the preparation of policies and procedures</w:t>
            </w:r>
          </w:p>
          <w:p w:rsidR="00000000" w:rsidRPr="001B0AAE" w:rsidP="001B0AAE">
            <w:pPr>
              <w:pStyle w:val="ListBullet2"/>
            </w:pPr>
            <w:r w:rsidRPr="001B0AAE">
              <w:t>types of standard forms, documentation and data</w:t>
            </w:r>
          </w:p>
          <w:p w:rsidR="00000000" w:rsidRPr="001B0AAE" w:rsidP="001B0AAE">
            <w:pPr>
              <w:pStyle w:val="ListBullet2"/>
            </w:pPr>
            <w:r w:rsidRPr="001B0AAE">
              <w:t>techniques in disseminating policies and procedures</w:t>
            </w:r>
          </w:p>
          <w:p w:rsidR="00000000" w:rsidRPr="001B0AAE" w:rsidP="001B0AAE">
            <w:pPr>
              <w:pStyle w:val="ListBullet2"/>
            </w:pPr>
            <w:r w:rsidRPr="001B0AAE">
              <w:t>techniques in undertaking approval processes.</w:t>
            </w:r>
          </w:p>
        </w:tc>
      </w:tr>
    </w:tbl>
    <w:p w:rsidR="00000000" w:rsidRPr="001B0AAE" w:rsidP="001B0AAE">
      <w:pPr>
        <w:pStyle w:val="NoPaddingFontSize1"/>
      </w:pPr>
    </w:p>
    <w:p w:rsidR="00000000" w:rsidRPr="001B0AAE" w:rsidP="001B0AAE">
      <w:pPr>
        <w:pStyle w:val="AllowPageBreak"/>
      </w:pPr>
    </w:p>
    <w:p w:rsidR="00000000" w:rsidRPr="001B0AAE" w:rsidP="001B0AAE">
      <w:pPr>
        <w:pStyle w:val="Heading1"/>
      </w:pPr>
      <w:bookmarkStart w:id="14" w:name="O_1005018"/>
      <w:bookmarkEnd w:id="14"/>
      <w:r w:rsidRPr="001B0AAE">
        <w:t>Assessment Conditions</w:t>
      </w:r>
    </w:p>
    <w:tbl>
      <w:tblPr>
        <w:tblW w:w="9497" w:type="dxa"/>
        <w:tblLayout w:type="fixed"/>
        <w:tblCellMar>
          <w:left w:w="62" w:type="dxa"/>
          <w:right w:w="62" w:type="dxa"/>
        </w:tblCellMar>
        <w:tblLook w:val="0000"/>
      </w:tblPr>
      <w:tblGrid>
        <w:gridCol w:w="9497"/>
      </w:tblGrid>
      <w:tr w:rsidTr="001B0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AAE" w:rsidP="001B0AAE">
            <w:pPr>
              <w:pStyle w:val="BodyText"/>
            </w:pPr>
            <w:r w:rsidRPr="001B0AAE">
              <w:t>Assessors must hold credentials specified within the Standards for Registered Training Organisations current at the</w:t>
            </w:r>
            <w:r w:rsidRPr="001B0AAE">
              <w:t xml:space="preserve"> time of assessment.</w:t>
            </w:r>
          </w:p>
          <w:p w:rsidR="00000000" w:rsidRPr="001B0AAE" w:rsidP="001B0AAE">
            <w:pPr>
              <w:pStyle w:val="BodyText"/>
            </w:pPr>
            <w:r w:rsidRPr="001B0AAE">
              <w:t>Assessment must satisfy the Principles of Assessment and Rules of Evidence and all regulatory requirements included within the Standards for Registered Training Organisations current at the time of assessment.</w:t>
            </w:r>
          </w:p>
          <w:p w:rsidR="00000000" w:rsidRPr="001B0AAE" w:rsidP="001B0AAE">
            <w:pPr>
              <w:pStyle w:val="BodyText"/>
            </w:pPr>
            <w:r w:rsidRPr="001B0AAE">
              <w:t xml:space="preserve">Assessment must occur in </w:t>
            </w:r>
            <w:r w:rsidRPr="001B0AAE">
              <w:t>workplace operational situations where it is appropriate to do so; where this is not appropriate, assessment must occur in simulated conditions involving realistic and authentic activities that replicate operational workplace conditions.</w:t>
            </w:r>
          </w:p>
          <w:p w:rsidR="00000000" w:rsidRPr="001B0AAE" w:rsidP="001B0AAE">
            <w:pPr>
              <w:pStyle w:val="BodyText"/>
            </w:pPr>
            <w:r w:rsidRPr="001B0AAE">
              <w:t>Assessment process</w:t>
            </w:r>
            <w:r w:rsidRPr="001B0AAE">
              <w:t>es and techniques must be appropriate to the language, literacy and numeracy requirements of the work being performed and the needs of the candidate.</w:t>
            </w:r>
          </w:p>
          <w:p w:rsidR="00000000" w:rsidRPr="001B0AAE" w:rsidP="001B0AAE">
            <w:pPr>
              <w:pStyle w:val="BodyText"/>
            </w:pPr>
            <w:r w:rsidRPr="001B0AAE">
              <w:t>Resources for assessment must include access to:</w:t>
            </w:r>
          </w:p>
          <w:p w:rsidR="00000000" w:rsidRPr="001B0AAE" w:rsidP="001B0AAE">
            <w:pPr>
              <w:pStyle w:val="ListBullet"/>
            </w:pPr>
            <w:r w:rsidRPr="001B0AAE">
              <w:t>a range of relevant exercises, case studies and/or other</w:t>
            </w:r>
            <w:r w:rsidRPr="001B0AAE">
              <w:t xml:space="preserve"> simulations</w:t>
            </w:r>
          </w:p>
          <w:p w:rsidR="00000000" w:rsidRPr="001B0AAE" w:rsidP="001B0AAE">
            <w:pPr>
              <w:pStyle w:val="ListBullet"/>
            </w:pPr>
            <w:r w:rsidRPr="001B0AAE">
              <w:t>relevant and appropriate materials, tools, facilities, equipment, protection, control, metering, and alarm equipment, computerised electrical plant control and monitoring facilities, and PPE currently used in industry</w:t>
            </w:r>
          </w:p>
          <w:p w:rsidR="00000000" w:rsidRPr="001B0AAE" w:rsidP="001B0AAE">
            <w:pPr>
              <w:pStyle w:val="ListBullet"/>
            </w:pPr>
            <w:r w:rsidRPr="001B0AAE">
              <w:t>applicable documentation, including workplace procedures, relevant industry standards, equipment specifications, regulations, codes of practice, relevant network drawings, operational event data, crisis management procedures and operation manuals.</w:t>
            </w:r>
          </w:p>
        </w:tc>
      </w:tr>
    </w:tbl>
    <w:p w:rsidR="00000000" w:rsidRPr="001B0AAE" w:rsidP="001B0AAE">
      <w:pPr>
        <w:pStyle w:val="NoPaddingFontSize1"/>
      </w:pPr>
    </w:p>
    <w:p w:rsidR="00000000" w:rsidRPr="001B0AAE" w:rsidP="001B0AAE">
      <w:pPr>
        <w:pStyle w:val="AllowPageBreak"/>
      </w:pPr>
    </w:p>
    <w:p w:rsidR="00000000" w:rsidRPr="001B0AAE" w:rsidP="001B0AAE">
      <w:pPr>
        <w:pStyle w:val="Heading1"/>
      </w:pPr>
      <w:bookmarkStart w:id="15" w:name="O_1005021"/>
      <w:bookmarkEnd w:id="15"/>
      <w:r w:rsidRPr="001B0AAE">
        <w:t>Links</w:t>
      </w:r>
    </w:p>
    <w:p w:rsidR="00000000" w:rsidRPr="001B0AAE" w:rsidP="00A83907">
      <w:pPr>
        <w:pStyle w:val="BodyText"/>
      </w:pPr>
      <w:r w:rsidRPr="001B0AA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E1136">
        <w:rPr>
          <w:rStyle w:val="Hyperlink"/>
        </w:rPr>
        <w:t>https://vetnet.gov.au/Pages/TrainingDocs.aspx?q=229bace1-b7bc-4653-9300-dffb13ecfad7</w:t>
      </w:r>
      <w:r>
        <w:fldChar w:fldCharType="end"/>
      </w:r>
    </w:p>
    <w:p w:rsidR="00000000" w:rsidRPr="001B0AAE" w:rsidP="001B0AAE"/>
    <w:sectPr w:rsidSect="001B0A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A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AAE" w:rsidRPr="00A83907" w:rsidP="00A839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A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907" w:rsidP="001B0A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83907" w:rsidP="001B0A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83907" w:rsidP="001B0A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AAE" w:rsidP="001B0AAE">
    <w:pPr>
      <w:pStyle w:val="Footer"/>
      <w:framePr w:wrap="around"/>
    </w:pPr>
    <w:r>
      <w:fldChar w:fldCharType="begin"/>
    </w:r>
    <w:r>
      <w:instrText xml:space="preserve"> DOCPROPERTY  Subject  \* MERGEFORMAT </w:instrText>
    </w:r>
    <w:r>
      <w:fldChar w:fldCharType="separate"/>
    </w:r>
    <w:r w:rsidR="00A83907">
      <w:t>Approved</w:t>
    </w:r>
    <w:r w:rsidR="00A83907">
      <w:fldChar w:fldCharType="end"/>
    </w:r>
    <w:r>
      <w:tab/>
      <w:t xml:space="preserve">Page </w:t>
    </w:r>
    <w:r>
      <w:fldChar w:fldCharType="begin"/>
    </w:r>
    <w:r>
      <w:instrText xml:space="preserve"> PAGE  \* Arabic  \* MERGEFORMAT </w:instrText>
    </w:r>
    <w:r>
      <w:fldChar w:fldCharType="separate"/>
    </w:r>
    <w:r w:rsidR="00A8390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3907">
      <w:rPr>
        <w:noProof/>
      </w:rPr>
      <w:t>6</w:t>
    </w:r>
    <w:r>
      <w:rPr>
        <w:noProof/>
      </w:rPr>
      <w:fldChar w:fldCharType="end"/>
    </w:r>
  </w:p>
  <w:p w:rsidR="001B0AAE" w:rsidP="001B0AAE">
    <w:pPr>
      <w:pStyle w:val="Footer"/>
      <w:framePr w:wrap="around"/>
    </w:pPr>
    <w:r>
      <w:t xml:space="preserve">© Commonwealth of Australia, </w:t>
    </w:r>
    <w:r>
      <w:fldChar w:fldCharType="begin"/>
    </w:r>
    <w:r>
      <w:instrText xml:space="preserve"> DATE  \@ "yyyy"  \* MERGEFORMAT </w:instrText>
    </w:r>
    <w:r>
      <w:fldChar w:fldCharType="separate"/>
    </w:r>
    <w:r w:rsidR="00A83907">
      <w:rPr>
        <w:noProof/>
      </w:rPr>
      <w:t>2025</w:t>
    </w:r>
    <w:r>
      <w:fldChar w:fldCharType="end"/>
    </w:r>
    <w:r>
      <w:tab/>
    </w:r>
    <w:r>
      <w:fldChar w:fldCharType="begin"/>
    </w:r>
    <w:r>
      <w:instrText xml:space="preserve"> DOCPROPERTY  Author  \* MERGEFORMAT </w:instrText>
    </w:r>
    <w:r>
      <w:fldChar w:fldCharType="separate"/>
    </w:r>
    <w:r w:rsidR="00A83907">
      <w:t>Powering Skills Organisation</w:t>
    </w:r>
    <w:r w:rsidR="00A83907">
      <w:fldChar w:fldCharType="end"/>
    </w:r>
  </w:p>
  <w:p w:rsidR="001B0AAE" w:rsidP="001B0A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A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9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AAE" w:rsidRPr="00A83907" w:rsidP="00A839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A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907" w:rsidRPr="002D2AF8" w:rsidP="001B0AAE">
    <w:pPr>
      <w:pStyle w:val="Header"/>
      <w:framePr w:wrap="around"/>
    </w:pPr>
    <w:r>
      <w:fldChar w:fldCharType="begin"/>
    </w:r>
    <w:r>
      <w:instrText xml:space="preserve"> TITLE   \* MERGEFORMAT </w:instrText>
    </w:r>
    <w:r>
      <w:fldChar w:fldCharType="separate"/>
    </w:r>
    <w:r>
      <w:t>UETTDRSO44 Develop crisis power systems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3907" w:rsidP="001B0A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AAE" w:rsidRPr="002D2AF8" w:rsidP="001B0AAE">
    <w:pPr>
      <w:pStyle w:val="Header"/>
      <w:framePr w:wrap="around"/>
    </w:pPr>
    <w:r>
      <w:fldChar w:fldCharType="begin"/>
    </w:r>
    <w:r>
      <w:instrText xml:space="preserve"> TITLE   \* MERGEFORMAT </w:instrText>
    </w:r>
    <w:r>
      <w:fldChar w:fldCharType="separate"/>
    </w:r>
    <w:r w:rsidR="00A83907">
      <w:t>UETTDRSO44 Develop crisis power systems management plans</w:t>
    </w:r>
    <w:r w:rsidR="00A83907">
      <w:fldChar w:fldCharType="end"/>
    </w:r>
    <w:r>
      <w:tab/>
      <w:t xml:space="preserve">Date this document was generated: </w:t>
    </w:r>
    <w:r>
      <w:fldChar w:fldCharType="begin"/>
    </w:r>
    <w:r>
      <w:instrText xml:space="preserve"> CREATEDATE  \@ "d MMMM yyyy"  \* MERGEFORMAT </w:instrText>
    </w:r>
    <w:r>
      <w:fldChar w:fldCharType="separate"/>
    </w:r>
    <w:r w:rsidR="00A83907">
      <w:rPr>
        <w:noProof/>
      </w:rPr>
      <w:t>2 March 2025</w:t>
    </w:r>
    <w:r>
      <w:fldChar w:fldCharType="end"/>
    </w:r>
  </w:p>
  <w:p w:rsidR="001B0AAE" w:rsidP="001B0A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2EF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4E8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3029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A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AAE"/>
    <w:pPr>
      <w:spacing w:before="360" w:after="60"/>
      <w:outlineLvl w:val="0"/>
    </w:pPr>
    <w:rPr>
      <w:sz w:val="32"/>
    </w:rPr>
  </w:style>
  <w:style w:type="paragraph" w:styleId="Heading2">
    <w:name w:val="heading 2"/>
    <w:basedOn w:val="HeadingBase"/>
    <w:next w:val="BodyText"/>
    <w:link w:val="Heading2Char"/>
    <w:qFormat/>
    <w:rsid w:val="001B0AAE"/>
    <w:pPr>
      <w:keepLines/>
      <w:spacing w:before="240" w:after="120"/>
      <w:outlineLvl w:val="1"/>
    </w:pPr>
    <w:rPr>
      <w:sz w:val="28"/>
      <w:szCs w:val="40"/>
    </w:rPr>
  </w:style>
  <w:style w:type="paragraph" w:styleId="Heading3">
    <w:name w:val="heading 3"/>
    <w:basedOn w:val="HeadingBase"/>
    <w:next w:val="BodyText"/>
    <w:link w:val="Heading3Char"/>
    <w:qFormat/>
    <w:rsid w:val="001B0AAE"/>
    <w:pPr>
      <w:spacing w:before="180" w:after="120"/>
      <w:outlineLvl w:val="2"/>
    </w:pPr>
    <w:rPr>
      <w:spacing w:val="-10"/>
      <w:kern w:val="32"/>
    </w:rPr>
  </w:style>
  <w:style w:type="paragraph" w:styleId="Heading4">
    <w:name w:val="heading 4"/>
    <w:basedOn w:val="HeadingBase"/>
    <w:next w:val="BodyText"/>
    <w:link w:val="Heading4Char"/>
    <w:qFormat/>
    <w:rsid w:val="001B0AAE"/>
    <w:pPr>
      <w:spacing w:before="160" w:after="120"/>
      <w:outlineLvl w:val="3"/>
    </w:pPr>
    <w:rPr>
      <w:sz w:val="22"/>
    </w:rPr>
  </w:style>
  <w:style w:type="paragraph" w:styleId="Heading5">
    <w:name w:val="heading 5"/>
    <w:basedOn w:val="HeadingBase"/>
    <w:next w:val="Normal"/>
    <w:link w:val="Heading5Char"/>
    <w:qFormat/>
    <w:rsid w:val="001B0AAE"/>
    <w:pPr>
      <w:spacing w:before="80"/>
      <w:outlineLvl w:val="4"/>
    </w:pPr>
    <w:rPr>
      <w:color w:val="918585"/>
      <w:sz w:val="20"/>
    </w:rPr>
  </w:style>
  <w:style w:type="paragraph" w:styleId="Heading6">
    <w:name w:val="heading 6"/>
    <w:basedOn w:val="HeadingBase"/>
    <w:next w:val="Normal"/>
    <w:link w:val="Heading6Char"/>
    <w:qFormat/>
    <w:rsid w:val="001B0AAE"/>
    <w:pPr>
      <w:spacing w:before="60"/>
      <w:outlineLvl w:val="5"/>
    </w:pPr>
    <w:rPr>
      <w:color w:val="918585"/>
      <w:sz w:val="20"/>
    </w:rPr>
  </w:style>
  <w:style w:type="paragraph" w:styleId="Heading7">
    <w:name w:val="heading 7"/>
    <w:basedOn w:val="Normal"/>
    <w:next w:val="Normal"/>
    <w:link w:val="Heading7Char"/>
    <w:qFormat/>
    <w:rsid w:val="001B0AAE"/>
    <w:pPr>
      <w:ind w:left="720"/>
      <w:outlineLvl w:val="6"/>
    </w:pPr>
    <w:rPr>
      <w:i/>
    </w:rPr>
  </w:style>
  <w:style w:type="paragraph" w:styleId="Heading8">
    <w:name w:val="heading 8"/>
    <w:basedOn w:val="Normal"/>
    <w:next w:val="Normal"/>
    <w:link w:val="Heading8Char"/>
    <w:qFormat/>
    <w:rsid w:val="001B0AAE"/>
    <w:pPr>
      <w:ind w:left="720"/>
      <w:outlineLvl w:val="7"/>
    </w:pPr>
    <w:rPr>
      <w:i/>
    </w:rPr>
  </w:style>
  <w:style w:type="paragraph" w:styleId="Heading9">
    <w:name w:val="heading 9"/>
    <w:basedOn w:val="Normal"/>
    <w:next w:val="Normal"/>
    <w:link w:val="Heading9Char"/>
    <w:qFormat/>
    <w:rsid w:val="001B0AAE"/>
    <w:pPr>
      <w:ind w:left="720"/>
      <w:outlineLvl w:val="8"/>
    </w:pPr>
    <w:rPr>
      <w:i/>
    </w:rPr>
  </w:style>
  <w:style w:type="character" w:default="1" w:styleId="DefaultParagraphFont">
    <w:name w:val="Default Paragraph Font"/>
    <w:uiPriority w:val="1"/>
    <w:unhideWhenUsed/>
    <w:rsid w:val="001B0A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AAE"/>
  </w:style>
  <w:style w:type="character" w:customStyle="1" w:styleId="Heading1Char">
    <w:name w:val="Heading 1 Char"/>
    <w:basedOn w:val="DefaultParagraphFont"/>
    <w:link w:val="Heading1"/>
    <w:rsid w:val="001B0AAE"/>
    <w:rPr>
      <w:rFonts w:ascii="Times New Roman" w:eastAsia="Times New Roman" w:hAnsi="Times New Roman" w:cs="Times New Roman"/>
      <w:b/>
      <w:sz w:val="32"/>
      <w:szCs w:val="20"/>
      <w:lang w:eastAsia="en-US"/>
    </w:rPr>
  </w:style>
  <w:style w:type="paragraph" w:styleId="BodyText">
    <w:name w:val="Body Text"/>
    <w:basedOn w:val="Normal"/>
    <w:link w:val="BodyTextChar"/>
    <w:rsid w:val="001B0A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AAE"/>
    <w:rPr>
      <w:rFonts w:ascii="Times New Roman" w:eastAsia="Times New Roman" w:hAnsi="Times New Roman" w:cs="Times New Roman"/>
      <w:sz w:val="24"/>
      <w:lang w:eastAsia="en-US"/>
    </w:rPr>
  </w:style>
  <w:style w:type="paragraph" w:styleId="ListBullet">
    <w:name w:val="List Bullet"/>
    <w:basedOn w:val="List"/>
    <w:rsid w:val="001B0AAE"/>
    <w:pPr>
      <w:numPr>
        <w:numId w:val="12"/>
      </w:numPr>
      <w:tabs>
        <w:tab w:val="clear" w:pos="340"/>
      </w:tabs>
      <w:spacing w:before="40" w:after="40"/>
    </w:pPr>
  </w:style>
  <w:style w:type="character" w:customStyle="1" w:styleId="SpecialBold">
    <w:name w:val="Special Bold"/>
    <w:basedOn w:val="DefaultParagraphFont"/>
    <w:rsid w:val="001B0AAE"/>
    <w:rPr>
      <w:b/>
      <w:spacing w:val="0"/>
    </w:rPr>
  </w:style>
  <w:style w:type="paragraph" w:styleId="ListBullet2">
    <w:name w:val="List Bullet 2"/>
    <w:basedOn w:val="List2"/>
    <w:rsid w:val="001B0AAE"/>
    <w:pPr>
      <w:numPr>
        <w:numId w:val="13"/>
      </w:numPr>
      <w:tabs>
        <w:tab w:val="clear" w:pos="680"/>
      </w:tabs>
    </w:pPr>
  </w:style>
  <w:style w:type="paragraph" w:customStyle="1" w:styleId="SuperHeading">
    <w:name w:val="SuperHeading"/>
    <w:basedOn w:val="Normal"/>
    <w:rsid w:val="001B0AAE"/>
    <w:pPr>
      <w:spacing w:before="240" w:after="120"/>
      <w:outlineLvl w:val="0"/>
    </w:pPr>
    <w:rPr>
      <w:rFonts w:ascii="Times New Roman" w:hAnsi="Times New Roman"/>
      <w:b/>
      <w:sz w:val="32"/>
    </w:rPr>
  </w:style>
  <w:style w:type="paragraph" w:customStyle="1" w:styleId="AllowPageBreak">
    <w:name w:val="AllowPageBreak"/>
    <w:rsid w:val="001B0A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0A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A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A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A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A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A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A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AAE"/>
    <w:rPr>
      <w:rFonts w:ascii="Courier New" w:eastAsia="Times New Roman" w:hAnsi="Courier New" w:cs="Times New Roman"/>
      <w:i/>
      <w:szCs w:val="20"/>
      <w:lang w:eastAsia="en-US"/>
    </w:rPr>
  </w:style>
  <w:style w:type="paragraph" w:customStyle="1" w:styleId="HeadingBase">
    <w:name w:val="Heading Base"/>
    <w:rsid w:val="001B0A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AAE"/>
    <w:pPr>
      <w:tabs>
        <w:tab w:val="right" w:leader="dot" w:pos="9072"/>
      </w:tabs>
      <w:ind w:left="567"/>
    </w:pPr>
    <w:rPr>
      <w:szCs w:val="22"/>
    </w:rPr>
  </w:style>
  <w:style w:type="paragraph" w:customStyle="1" w:styleId="TOCBase">
    <w:name w:val="TOC Base"/>
    <w:rsid w:val="001B0A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AAE"/>
    <w:pPr>
      <w:tabs>
        <w:tab w:val="right" w:leader="dot" w:pos="9072"/>
      </w:tabs>
      <w:spacing w:before="40" w:after="40"/>
      <w:ind w:left="284"/>
    </w:pPr>
    <w:rPr>
      <w:rFonts w:ascii="Times New Roman" w:hAnsi="Times New Roman"/>
    </w:rPr>
  </w:style>
  <w:style w:type="paragraph" w:styleId="TOC1">
    <w:name w:val="toc 1"/>
    <w:basedOn w:val="TOCBase"/>
    <w:next w:val="Normal"/>
    <w:rsid w:val="001B0A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A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AAE"/>
    <w:rPr>
      <w:rFonts w:ascii="Times New Roman" w:eastAsia="Times New Roman" w:hAnsi="Times New Roman" w:cs="Times New Roman"/>
      <w:sz w:val="16"/>
      <w:lang w:eastAsia="en-US"/>
    </w:rPr>
  </w:style>
  <w:style w:type="paragraph" w:styleId="Title">
    <w:name w:val="Title"/>
    <w:basedOn w:val="HeadingBase"/>
    <w:link w:val="TitleChar"/>
    <w:qFormat/>
    <w:rsid w:val="001B0AAE"/>
    <w:pPr>
      <w:spacing w:before="5040"/>
      <w:jc w:val="center"/>
    </w:pPr>
    <w:rPr>
      <w:sz w:val="48"/>
      <w:szCs w:val="72"/>
      <w:lang w:val="en-US"/>
    </w:rPr>
  </w:style>
  <w:style w:type="character" w:customStyle="1" w:styleId="TitleChar">
    <w:name w:val="Title Char"/>
    <w:basedOn w:val="DefaultParagraphFont"/>
    <w:link w:val="Title"/>
    <w:rsid w:val="001B0A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AAE"/>
    <w:pPr>
      <w:tabs>
        <w:tab w:val="left" w:pos="3600"/>
        <w:tab w:val="left" w:pos="3958"/>
      </w:tabs>
    </w:pPr>
  </w:style>
  <w:style w:type="paragraph" w:styleId="List">
    <w:name w:val="List"/>
    <w:basedOn w:val="BodyText"/>
    <w:next w:val="BodyText"/>
    <w:rsid w:val="001B0AAE"/>
    <w:pPr>
      <w:tabs>
        <w:tab w:val="left" w:pos="340"/>
      </w:tabs>
      <w:spacing w:before="60" w:after="60"/>
      <w:ind w:left="340" w:hanging="340"/>
    </w:pPr>
  </w:style>
  <w:style w:type="paragraph" w:customStyle="1" w:styleId="Note">
    <w:name w:val="Note"/>
    <w:basedOn w:val="BodyText"/>
    <w:rsid w:val="001B0A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AAE"/>
    <w:pPr>
      <w:framePr w:wrap="auto" w:hAnchor="text" w:y="6049"/>
    </w:pPr>
    <w:rPr>
      <w:color w:val="000000"/>
      <w:sz w:val="40"/>
    </w:rPr>
  </w:style>
  <w:style w:type="paragraph" w:customStyle="1" w:styleId="TOCTitle">
    <w:name w:val="TOCTitle"/>
    <w:basedOn w:val="Heading1"/>
    <w:rsid w:val="001B0AAE"/>
    <w:pPr>
      <w:spacing w:after="240"/>
      <w:jc w:val="center"/>
      <w:outlineLvl w:val="9"/>
    </w:pPr>
    <w:rPr>
      <w:caps/>
    </w:rPr>
  </w:style>
  <w:style w:type="paragraph" w:customStyle="1" w:styleId="Version">
    <w:name w:val="Version"/>
    <w:rsid w:val="001B0A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AAE"/>
    <w:pPr>
      <w:keepNext w:val="0"/>
      <w:tabs>
        <w:tab w:val="right" w:pos="4176"/>
      </w:tabs>
      <w:ind w:left="198" w:hanging="198"/>
    </w:pPr>
    <w:rPr>
      <w:rFonts w:ascii="Garamond" w:hAnsi="Garamond"/>
    </w:rPr>
  </w:style>
  <w:style w:type="paragraph" w:styleId="IndexHeading">
    <w:name w:val="index heading"/>
    <w:basedOn w:val="Normal"/>
    <w:next w:val="Index1"/>
    <w:semiHidden/>
    <w:rsid w:val="001B0AAE"/>
    <w:pPr>
      <w:spacing w:before="120" w:after="120"/>
    </w:pPr>
    <w:rPr>
      <w:rFonts w:ascii="Arial" w:hAnsi="Arial"/>
      <w:b/>
      <w:color w:val="918585"/>
      <w:sz w:val="24"/>
    </w:rPr>
  </w:style>
  <w:style w:type="paragraph" w:styleId="Header">
    <w:name w:val="header"/>
    <w:basedOn w:val="Normal"/>
    <w:link w:val="HeaderChar"/>
    <w:rsid w:val="001B0A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AAE"/>
    <w:rPr>
      <w:rFonts w:ascii="Times New Roman" w:eastAsia="Times New Roman" w:hAnsi="Times New Roman" w:cs="Times New Roman"/>
      <w:sz w:val="16"/>
      <w:szCs w:val="20"/>
      <w:lang w:val="en-GB" w:eastAsia="en-US"/>
    </w:rPr>
  </w:style>
  <w:style w:type="paragraph" w:customStyle="1" w:styleId="Chapter">
    <w:name w:val="Chapter"/>
    <w:basedOn w:val="Normal"/>
    <w:rsid w:val="001B0AAE"/>
    <w:pPr>
      <w:spacing w:before="240"/>
    </w:pPr>
    <w:rPr>
      <w:rFonts w:ascii="Times New Roman" w:hAnsi="Times New Roman"/>
      <w:smallCaps/>
      <w:spacing w:val="80"/>
      <w:sz w:val="28"/>
    </w:rPr>
  </w:style>
  <w:style w:type="paragraph" w:customStyle="1" w:styleId="InChapter">
    <w:name w:val="InChapter"/>
    <w:basedOn w:val="Heading3"/>
    <w:rsid w:val="001B0AAE"/>
    <w:pPr>
      <w:spacing w:after="240"/>
      <w:outlineLvl w:val="9"/>
    </w:pPr>
    <w:rPr>
      <w:noProof/>
    </w:rPr>
  </w:style>
  <w:style w:type="paragraph" w:styleId="Index2">
    <w:name w:val="index 2"/>
    <w:basedOn w:val="Normal"/>
    <w:next w:val="Normal"/>
    <w:semiHidden/>
    <w:rsid w:val="001B0AAE"/>
    <w:pPr>
      <w:tabs>
        <w:tab w:val="right" w:pos="4176"/>
      </w:tabs>
      <w:ind w:left="568" w:hanging="284"/>
    </w:pPr>
    <w:rPr>
      <w:rFonts w:ascii="Garamond" w:hAnsi="Garamond"/>
    </w:rPr>
  </w:style>
  <w:style w:type="paragraph" w:customStyle="1" w:styleId="Byline">
    <w:name w:val="Byline"/>
    <w:rsid w:val="001B0A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AAE"/>
    <w:pPr>
      <w:tabs>
        <w:tab w:val="clear" w:pos="3600"/>
        <w:tab w:val="clear" w:pos="3958"/>
      </w:tabs>
      <w:jc w:val="right"/>
    </w:pPr>
  </w:style>
  <w:style w:type="character" w:styleId="Emphasis">
    <w:name w:val="Emphasis"/>
    <w:basedOn w:val="DefaultParagraphFont"/>
    <w:qFormat/>
    <w:rsid w:val="001B0AAE"/>
    <w:rPr>
      <w:i/>
    </w:rPr>
  </w:style>
  <w:style w:type="paragraph" w:styleId="Caption">
    <w:name w:val="caption"/>
    <w:basedOn w:val="BodyText"/>
    <w:next w:val="Normal"/>
    <w:qFormat/>
    <w:rsid w:val="001B0AAE"/>
    <w:pPr>
      <w:framePr w:w="2268" w:hSpace="181" w:vSpace="181" w:wrap="around" w:vAnchor="text" w:hAnchor="page" w:x="1135" w:y="285" w:anchorLock="1"/>
    </w:pPr>
    <w:rPr>
      <w:i/>
    </w:rPr>
  </w:style>
  <w:style w:type="paragraph" w:customStyle="1" w:styleId="MiniTOCTitle">
    <w:name w:val="MiniTOCTitle"/>
    <w:basedOn w:val="Heading4"/>
    <w:rsid w:val="001B0AAE"/>
    <w:pPr>
      <w:spacing w:before="240"/>
      <w:outlineLvl w:val="9"/>
    </w:pPr>
    <w:rPr>
      <w:noProof/>
      <w:sz w:val="24"/>
    </w:rPr>
  </w:style>
  <w:style w:type="paragraph" w:customStyle="1" w:styleId="MiniTOCItem">
    <w:name w:val="MiniTOCItem"/>
    <w:basedOn w:val="ListBullet"/>
    <w:rsid w:val="001B0AAE"/>
    <w:pPr>
      <w:numPr>
        <w:numId w:val="0"/>
      </w:numPr>
      <w:tabs>
        <w:tab w:val="right" w:leader="dot" w:pos="6521"/>
      </w:tabs>
      <w:spacing w:before="0" w:after="0"/>
    </w:pPr>
  </w:style>
  <w:style w:type="paragraph" w:customStyle="1" w:styleId="TOFTitle">
    <w:name w:val="TOFTitle"/>
    <w:basedOn w:val="TOCTitle"/>
    <w:rsid w:val="001B0AAE"/>
  </w:style>
  <w:style w:type="paragraph" w:styleId="TableofFigures">
    <w:name w:val="table of figures"/>
    <w:basedOn w:val="Normal"/>
    <w:next w:val="Normal"/>
    <w:semiHidden/>
    <w:rsid w:val="001B0AAE"/>
    <w:pPr>
      <w:tabs>
        <w:tab w:val="right" w:leader="dot" w:pos="9072"/>
      </w:tabs>
      <w:ind w:left="970" w:hanging="403"/>
    </w:pPr>
    <w:rPr>
      <w:rFonts w:ascii="Times New Roman" w:hAnsi="Times New Roman"/>
      <w:b/>
    </w:rPr>
  </w:style>
  <w:style w:type="paragraph" w:styleId="ListNumber">
    <w:name w:val="List Number"/>
    <w:basedOn w:val="List"/>
    <w:rsid w:val="001B0AAE"/>
    <w:pPr>
      <w:numPr>
        <w:numId w:val="15"/>
      </w:numPr>
      <w:tabs>
        <w:tab w:val="clear" w:pos="340"/>
      </w:tabs>
    </w:pPr>
  </w:style>
  <w:style w:type="character" w:customStyle="1" w:styleId="WingdingSymbols">
    <w:name w:val="Wingding Symbols"/>
    <w:rsid w:val="001B0AAE"/>
    <w:rPr>
      <w:rFonts w:ascii="Wingdings" w:hAnsi="Wingdings"/>
    </w:rPr>
  </w:style>
  <w:style w:type="paragraph" w:customStyle="1" w:styleId="TableHeading">
    <w:name w:val="Table Heading"/>
    <w:basedOn w:val="HeadingBase"/>
    <w:rsid w:val="001B0AAE"/>
    <w:pPr>
      <w:keepLines/>
      <w:pBdr>
        <w:bottom w:val="single" w:sz="6" w:space="1" w:color="918585"/>
      </w:pBdr>
      <w:spacing w:before="240"/>
    </w:pPr>
  </w:style>
  <w:style w:type="character" w:customStyle="1" w:styleId="HotSpot">
    <w:name w:val="HotSpot"/>
    <w:rsid w:val="001B0AAE"/>
    <w:rPr>
      <w:color w:val="0033CC"/>
      <w:u w:val="none"/>
    </w:rPr>
  </w:style>
  <w:style w:type="paragraph" w:customStyle="1" w:styleId="BodyTextRight">
    <w:name w:val="Body Text Right"/>
    <w:basedOn w:val="BodyText"/>
    <w:rsid w:val="001B0AAE"/>
    <w:pPr>
      <w:spacing w:before="0" w:after="0"/>
      <w:jc w:val="right"/>
    </w:pPr>
  </w:style>
  <w:style w:type="paragraph" w:styleId="Index3">
    <w:name w:val="index 3"/>
    <w:basedOn w:val="ListNumber2"/>
    <w:next w:val="Normal"/>
    <w:semiHidden/>
    <w:rsid w:val="001B0AAE"/>
    <w:pPr>
      <w:numPr>
        <w:numId w:val="0"/>
      </w:numPr>
      <w:tabs>
        <w:tab w:val="right" w:leader="dot" w:pos="4176"/>
      </w:tabs>
    </w:pPr>
  </w:style>
  <w:style w:type="paragraph" w:styleId="ListNumber2">
    <w:name w:val="List Number 2"/>
    <w:basedOn w:val="List2"/>
    <w:rsid w:val="001B0AAE"/>
    <w:pPr>
      <w:numPr>
        <w:numId w:val="10"/>
      </w:numPr>
      <w:tabs>
        <w:tab w:val="clear" w:pos="1060"/>
      </w:tabs>
    </w:pPr>
  </w:style>
  <w:style w:type="paragraph" w:customStyle="1" w:styleId="MarginNote">
    <w:name w:val="Margin Note"/>
    <w:basedOn w:val="BodyText"/>
    <w:rsid w:val="001B0A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A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A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AAE"/>
    <w:rPr>
      <w:sz w:val="32"/>
    </w:rPr>
  </w:style>
  <w:style w:type="paragraph" w:customStyle="1" w:styleId="HeadingProcedure">
    <w:name w:val="Heading Procedure"/>
    <w:basedOn w:val="HeadingBase"/>
    <w:next w:val="Normal"/>
    <w:rsid w:val="001B0AAE"/>
    <w:pPr>
      <w:tabs>
        <w:tab w:val="left" w:pos="0"/>
      </w:tabs>
      <w:spacing w:before="120" w:after="60"/>
    </w:pPr>
    <w:rPr>
      <w:i/>
      <w:color w:val="918585"/>
      <w:sz w:val="22"/>
    </w:rPr>
  </w:style>
  <w:style w:type="paragraph" w:customStyle="1" w:styleId="TableBodyText">
    <w:name w:val="Table Body Text"/>
    <w:basedOn w:val="BodyText"/>
    <w:rsid w:val="001B0AAE"/>
    <w:pPr>
      <w:spacing w:before="60" w:after="60"/>
    </w:pPr>
  </w:style>
  <w:style w:type="paragraph" w:styleId="ListContinue">
    <w:name w:val="List Continue"/>
    <w:basedOn w:val="List"/>
    <w:rsid w:val="001B0AAE"/>
    <w:pPr>
      <w:ind w:firstLine="0"/>
    </w:pPr>
  </w:style>
  <w:style w:type="paragraph" w:customStyle="1" w:styleId="ListNote">
    <w:name w:val="List Note"/>
    <w:basedOn w:val="List"/>
    <w:rsid w:val="001B0AAE"/>
    <w:pPr>
      <w:pBdr>
        <w:top w:val="single" w:sz="6" w:space="2" w:color="918585"/>
        <w:bottom w:val="single" w:sz="6" w:space="2" w:color="918585"/>
      </w:pBdr>
      <w:tabs>
        <w:tab w:val="left" w:pos="1021"/>
      </w:tabs>
      <w:ind w:firstLine="0"/>
    </w:pPr>
  </w:style>
  <w:style w:type="paragraph" w:customStyle="1" w:styleId="Warning">
    <w:name w:val="Warning"/>
    <w:basedOn w:val="BodyText"/>
    <w:rsid w:val="001B0AAE"/>
    <w:pPr>
      <w:shd w:val="clear" w:color="auto" w:fill="D9D9D9"/>
      <w:tabs>
        <w:tab w:val="left" w:pos="992"/>
      </w:tabs>
      <w:ind w:left="119" w:right="119"/>
    </w:pPr>
    <w:rPr>
      <w:sz w:val="20"/>
    </w:rPr>
  </w:style>
  <w:style w:type="paragraph" w:customStyle="1" w:styleId="MarginIcons">
    <w:name w:val="Margin Icons"/>
    <w:basedOn w:val="BodyText"/>
    <w:rsid w:val="001B0A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AAE"/>
    <w:rPr>
      <w:rFonts w:ascii="Courier New" w:hAnsi="Courier New"/>
    </w:rPr>
  </w:style>
  <w:style w:type="paragraph" w:customStyle="1" w:styleId="NoteBullet">
    <w:name w:val="Note Bullet"/>
    <w:basedOn w:val="Note"/>
    <w:rsid w:val="001B0AAE"/>
    <w:pPr>
      <w:tabs>
        <w:tab w:val="clear" w:pos="680"/>
      </w:tabs>
      <w:spacing w:before="60" w:after="60"/>
    </w:pPr>
  </w:style>
  <w:style w:type="paragraph" w:customStyle="1" w:styleId="SubHeading2">
    <w:name w:val="SubHeading2"/>
    <w:basedOn w:val="HeadingBase"/>
    <w:rsid w:val="001B0AAE"/>
    <w:pPr>
      <w:spacing w:before="240" w:after="60"/>
    </w:pPr>
    <w:rPr>
      <w:sz w:val="20"/>
    </w:rPr>
  </w:style>
  <w:style w:type="paragraph" w:customStyle="1" w:styleId="SubHeading1">
    <w:name w:val="SubHeading1"/>
    <w:basedOn w:val="HeadingBase"/>
    <w:rsid w:val="001B0AAE"/>
    <w:pPr>
      <w:spacing w:before="240" w:after="60"/>
    </w:pPr>
    <w:rPr>
      <w:color w:val="918585"/>
      <w:sz w:val="22"/>
    </w:rPr>
  </w:style>
  <w:style w:type="paragraph" w:customStyle="1" w:styleId="SideHeading">
    <w:name w:val="Side Heading"/>
    <w:basedOn w:val="HeadingBase"/>
    <w:rsid w:val="001B0A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AAE"/>
    <w:pPr>
      <w:tabs>
        <w:tab w:val="num" w:pos="360"/>
      </w:tabs>
    </w:pPr>
  </w:style>
  <w:style w:type="paragraph" w:styleId="PlainText">
    <w:name w:val="Plain Text"/>
    <w:basedOn w:val="Normal"/>
    <w:link w:val="PlainTextChar"/>
    <w:rsid w:val="001B0AAE"/>
    <w:rPr>
      <w:sz w:val="20"/>
    </w:rPr>
  </w:style>
  <w:style w:type="character" w:customStyle="1" w:styleId="PlainTextChar">
    <w:name w:val="Plain Text Char"/>
    <w:basedOn w:val="DefaultParagraphFont"/>
    <w:link w:val="PlainText"/>
    <w:rsid w:val="001B0AAE"/>
    <w:rPr>
      <w:rFonts w:ascii="Courier New" w:eastAsia="Times New Roman" w:hAnsi="Courier New" w:cs="Times New Roman"/>
      <w:sz w:val="20"/>
      <w:szCs w:val="20"/>
      <w:lang w:eastAsia="en-US"/>
    </w:rPr>
  </w:style>
  <w:style w:type="character" w:customStyle="1" w:styleId="MenuOption">
    <w:name w:val="Menu Option"/>
    <w:basedOn w:val="DefaultParagraphFont"/>
    <w:rsid w:val="001B0AAE"/>
    <w:rPr>
      <w:b/>
      <w:smallCaps/>
    </w:rPr>
  </w:style>
  <w:style w:type="paragraph" w:customStyle="1" w:styleId="TableListNumber">
    <w:name w:val="Table List Number"/>
    <w:basedOn w:val="ListNumber"/>
    <w:rsid w:val="001B0AAE"/>
    <w:pPr>
      <w:numPr>
        <w:numId w:val="0"/>
      </w:numPr>
    </w:pPr>
  </w:style>
  <w:style w:type="paragraph" w:styleId="TOC4">
    <w:name w:val="toc 4"/>
    <w:basedOn w:val="TOCBase"/>
    <w:next w:val="Normal"/>
    <w:semiHidden/>
    <w:rsid w:val="001B0AAE"/>
    <w:pPr>
      <w:tabs>
        <w:tab w:val="right" w:leader="dot" w:pos="9071"/>
      </w:tabs>
      <w:ind w:left="1701"/>
    </w:pPr>
  </w:style>
  <w:style w:type="paragraph" w:customStyle="1" w:styleId="ListAlpha">
    <w:name w:val="List Alpha"/>
    <w:basedOn w:val="List"/>
    <w:rsid w:val="001B0AAE"/>
    <w:pPr>
      <w:numPr>
        <w:numId w:val="9"/>
      </w:numPr>
    </w:pPr>
  </w:style>
  <w:style w:type="paragraph" w:customStyle="1" w:styleId="ListAlpha2">
    <w:name w:val="List Alpha 2"/>
    <w:basedOn w:val="List2"/>
    <w:rsid w:val="001B0AAE"/>
    <w:pPr>
      <w:numPr>
        <w:numId w:val="8"/>
      </w:numPr>
    </w:pPr>
  </w:style>
  <w:style w:type="paragraph" w:styleId="List2">
    <w:name w:val="List 2"/>
    <w:basedOn w:val="BodyText"/>
    <w:rsid w:val="001B0AAE"/>
    <w:pPr>
      <w:tabs>
        <w:tab w:val="left" w:pos="680"/>
      </w:tabs>
      <w:spacing w:before="60" w:after="60"/>
      <w:ind w:left="680" w:hanging="340"/>
    </w:pPr>
  </w:style>
  <w:style w:type="paragraph" w:styleId="List3">
    <w:name w:val="List 3"/>
    <w:basedOn w:val="BodyText"/>
    <w:rsid w:val="001B0AAE"/>
    <w:pPr>
      <w:tabs>
        <w:tab w:val="left" w:pos="1021"/>
      </w:tabs>
      <w:spacing w:before="60" w:after="60"/>
      <w:ind w:left="1020" w:hanging="340"/>
    </w:pPr>
  </w:style>
  <w:style w:type="paragraph" w:styleId="List4">
    <w:name w:val="List 4"/>
    <w:basedOn w:val="BodyText"/>
    <w:rsid w:val="001B0AAE"/>
    <w:pPr>
      <w:tabs>
        <w:tab w:val="left" w:pos="1361"/>
      </w:tabs>
      <w:spacing w:before="60" w:after="60"/>
      <w:ind w:left="1361" w:hanging="340"/>
    </w:pPr>
  </w:style>
  <w:style w:type="paragraph" w:styleId="List5">
    <w:name w:val="List 5"/>
    <w:basedOn w:val="BodyText"/>
    <w:rsid w:val="001B0AAE"/>
    <w:pPr>
      <w:tabs>
        <w:tab w:val="left" w:pos="1701"/>
      </w:tabs>
      <w:spacing w:before="60" w:after="60"/>
      <w:ind w:left="1701" w:hanging="340"/>
    </w:pPr>
  </w:style>
  <w:style w:type="paragraph" w:styleId="ListBullet3">
    <w:name w:val="List Bullet 3"/>
    <w:basedOn w:val="List3"/>
    <w:rsid w:val="001B0AAE"/>
    <w:pPr>
      <w:numPr>
        <w:numId w:val="14"/>
      </w:numPr>
      <w:tabs>
        <w:tab w:val="clear" w:pos="1021"/>
      </w:tabs>
      <w:ind w:left="1037" w:hanging="357"/>
    </w:pPr>
  </w:style>
  <w:style w:type="paragraph" w:styleId="ListBullet4">
    <w:name w:val="List Bullet 4"/>
    <w:basedOn w:val="List4"/>
    <w:rsid w:val="001B0AAE"/>
    <w:pPr>
      <w:numPr>
        <w:numId w:val="3"/>
      </w:numPr>
      <w:tabs>
        <w:tab w:val="clear" w:pos="1361"/>
      </w:tabs>
    </w:pPr>
  </w:style>
  <w:style w:type="paragraph" w:styleId="ListBullet5">
    <w:name w:val="List Bullet 5"/>
    <w:basedOn w:val="List5"/>
    <w:rsid w:val="001B0AAE"/>
    <w:pPr>
      <w:numPr>
        <w:numId w:val="4"/>
      </w:numPr>
    </w:pPr>
  </w:style>
  <w:style w:type="paragraph" w:styleId="ListContinue2">
    <w:name w:val="List Continue 2"/>
    <w:basedOn w:val="List2"/>
    <w:rsid w:val="001B0AAE"/>
    <w:pPr>
      <w:ind w:firstLine="0"/>
    </w:pPr>
  </w:style>
  <w:style w:type="paragraph" w:styleId="ListContinue3">
    <w:name w:val="List Continue 3"/>
    <w:basedOn w:val="List3"/>
    <w:rsid w:val="001B0AAE"/>
    <w:pPr>
      <w:ind w:left="1021" w:firstLine="0"/>
    </w:pPr>
  </w:style>
  <w:style w:type="paragraph" w:styleId="ListContinue4">
    <w:name w:val="List Continue 4"/>
    <w:basedOn w:val="List4"/>
    <w:rsid w:val="001B0AAE"/>
    <w:pPr>
      <w:ind w:firstLine="0"/>
    </w:pPr>
  </w:style>
  <w:style w:type="paragraph" w:styleId="ListContinue5">
    <w:name w:val="List Continue 5"/>
    <w:basedOn w:val="List5"/>
    <w:rsid w:val="001B0AAE"/>
    <w:pPr>
      <w:ind w:firstLine="0"/>
    </w:pPr>
  </w:style>
  <w:style w:type="paragraph" w:styleId="ListNumber3">
    <w:name w:val="List Number 3"/>
    <w:basedOn w:val="List3"/>
    <w:rsid w:val="001B0AAE"/>
    <w:pPr>
      <w:numPr>
        <w:numId w:val="5"/>
      </w:numPr>
    </w:pPr>
  </w:style>
  <w:style w:type="paragraph" w:styleId="ListNumber4">
    <w:name w:val="List Number 4"/>
    <w:basedOn w:val="List4"/>
    <w:rsid w:val="001B0AAE"/>
    <w:pPr>
      <w:numPr>
        <w:numId w:val="6"/>
      </w:numPr>
    </w:pPr>
  </w:style>
  <w:style w:type="paragraph" w:styleId="ListNumber5">
    <w:name w:val="List Number 5"/>
    <w:basedOn w:val="List5"/>
    <w:rsid w:val="001B0AAE"/>
    <w:pPr>
      <w:numPr>
        <w:numId w:val="7"/>
      </w:numPr>
    </w:pPr>
  </w:style>
  <w:style w:type="paragraph" w:styleId="BlockText">
    <w:name w:val="Block Text"/>
    <w:basedOn w:val="Normal"/>
    <w:rsid w:val="001B0AAE"/>
    <w:pPr>
      <w:spacing w:after="120"/>
      <w:ind w:left="1440" w:right="1440"/>
    </w:pPr>
  </w:style>
  <w:style w:type="character" w:customStyle="1" w:styleId="Subscript">
    <w:name w:val="Subscript"/>
    <w:basedOn w:val="DefaultParagraphFont"/>
    <w:rsid w:val="001B0AAE"/>
    <w:rPr>
      <w:sz w:val="16"/>
      <w:vertAlign w:val="subscript"/>
    </w:rPr>
  </w:style>
  <w:style w:type="character" w:customStyle="1" w:styleId="Superscript">
    <w:name w:val="Superscript"/>
    <w:basedOn w:val="DefaultParagraphFont"/>
    <w:rsid w:val="001B0AAE"/>
    <w:rPr>
      <w:sz w:val="16"/>
      <w:vertAlign w:val="superscript"/>
    </w:rPr>
  </w:style>
  <w:style w:type="character" w:customStyle="1" w:styleId="Symbols">
    <w:name w:val="Symbols"/>
    <w:basedOn w:val="DefaultParagraphFont"/>
    <w:rsid w:val="001B0AAE"/>
    <w:rPr>
      <w:rFonts w:ascii="Symbol" w:hAnsi="Symbol"/>
    </w:rPr>
  </w:style>
  <w:style w:type="character" w:customStyle="1" w:styleId="MenuOptions">
    <w:name w:val="Menu Options"/>
    <w:basedOn w:val="DefaultParagraphFont"/>
    <w:rsid w:val="001B0AAE"/>
    <w:rPr>
      <w:rFonts w:ascii="Arial Narrow" w:hAnsi="Arial Narrow"/>
      <w:smallCaps/>
    </w:rPr>
  </w:style>
  <w:style w:type="character" w:customStyle="1" w:styleId="Buttons">
    <w:name w:val="Buttons"/>
    <w:basedOn w:val="DefaultParagraphFont"/>
    <w:rsid w:val="001B0AAE"/>
    <w:rPr>
      <w:b/>
    </w:rPr>
  </w:style>
  <w:style w:type="character" w:customStyle="1" w:styleId="Underlined">
    <w:name w:val="Underlined"/>
    <w:basedOn w:val="DefaultParagraphFont"/>
    <w:rsid w:val="001B0AAE"/>
    <w:rPr>
      <w:u w:val="single"/>
    </w:rPr>
  </w:style>
  <w:style w:type="paragraph" w:customStyle="1" w:styleId="TableBodyTextRight">
    <w:name w:val="Table Body Text Right"/>
    <w:basedOn w:val="TableBodyText"/>
    <w:rsid w:val="001B0AAE"/>
    <w:pPr>
      <w:widowControl w:val="0"/>
      <w:autoSpaceDE w:val="0"/>
      <w:autoSpaceDN w:val="0"/>
      <w:adjustRightInd w:val="0"/>
      <w:jc w:val="right"/>
    </w:pPr>
    <w:rPr>
      <w:rFonts w:cs="Arial"/>
      <w:szCs w:val="18"/>
    </w:rPr>
  </w:style>
  <w:style w:type="paragraph" w:customStyle="1" w:styleId="CopyrightText">
    <w:name w:val="Copyright Text"/>
    <w:basedOn w:val="BodyText"/>
    <w:rsid w:val="001B0AAE"/>
    <w:rPr>
      <w:sz w:val="18"/>
    </w:rPr>
  </w:style>
  <w:style w:type="paragraph" w:customStyle="1" w:styleId="BodySmallRight">
    <w:name w:val="Body Small Right"/>
    <w:basedOn w:val="BodyTextRight"/>
    <w:rsid w:val="001B0AAE"/>
    <w:rPr>
      <w:sz w:val="18"/>
      <w:szCs w:val="18"/>
    </w:rPr>
  </w:style>
  <w:style w:type="paragraph" w:customStyle="1" w:styleId="MarginEdition">
    <w:name w:val="Margin Edition"/>
    <w:basedOn w:val="MarginNote"/>
    <w:rsid w:val="001B0AAE"/>
    <w:pPr>
      <w:spacing w:before="0" w:after="0"/>
    </w:pPr>
    <w:rPr>
      <w:rFonts w:ascii="Times New Roman" w:hAnsi="Times New Roman"/>
      <w:color w:val="999999"/>
    </w:rPr>
  </w:style>
  <w:style w:type="paragraph" w:customStyle="1" w:styleId="Spacer">
    <w:name w:val="Spacer"/>
    <w:basedOn w:val="Normal"/>
    <w:rsid w:val="001B0AAE"/>
    <w:rPr>
      <w:sz w:val="2"/>
      <w:szCs w:val="2"/>
    </w:rPr>
  </w:style>
  <w:style w:type="character" w:customStyle="1" w:styleId="Small">
    <w:name w:val="Small"/>
    <w:basedOn w:val="DefaultParagraphFont"/>
    <w:rsid w:val="001B0AAE"/>
    <w:rPr>
      <w:sz w:val="16"/>
    </w:rPr>
  </w:style>
  <w:style w:type="paragraph" w:customStyle="1" w:styleId="WideTable">
    <w:name w:val="Wide Table"/>
    <w:basedOn w:val="Normal"/>
    <w:rsid w:val="001B0AAE"/>
    <w:pPr>
      <w:ind w:left="-1418"/>
    </w:pPr>
    <w:rPr>
      <w:sz w:val="2"/>
      <w:szCs w:val="2"/>
    </w:rPr>
  </w:style>
  <w:style w:type="character" w:styleId="PageNumber">
    <w:name w:val="page number"/>
    <w:basedOn w:val="DefaultParagraphFont"/>
    <w:rsid w:val="001B0AAE"/>
  </w:style>
  <w:style w:type="paragraph" w:styleId="Quote">
    <w:name w:val="Quote"/>
    <w:basedOn w:val="Heading1"/>
    <w:link w:val="QuoteChar"/>
    <w:qFormat/>
    <w:rsid w:val="001B0AAE"/>
    <w:rPr>
      <w:b w:val="0"/>
      <w:sz w:val="72"/>
      <w:szCs w:val="72"/>
      <w:lang w:val="en-NZ"/>
    </w:rPr>
  </w:style>
  <w:style w:type="character" w:customStyle="1" w:styleId="QuoteChar">
    <w:name w:val="Quote Char"/>
    <w:basedOn w:val="DefaultParagraphFont"/>
    <w:link w:val="Quote"/>
    <w:rsid w:val="001B0A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AAE"/>
    <w:pPr>
      <w:pageBreakBefore/>
    </w:pPr>
  </w:style>
  <w:style w:type="paragraph" w:customStyle="1" w:styleId="Border">
    <w:name w:val="Border"/>
    <w:basedOn w:val="Normal"/>
    <w:qFormat/>
    <w:rsid w:val="001B0A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AAE"/>
    <w:rPr>
      <w:b/>
      <w:bCs/>
      <w:i/>
      <w:iCs/>
      <w:color w:val="auto"/>
    </w:rPr>
  </w:style>
  <w:style w:type="paragraph" w:styleId="IntenseQuote">
    <w:name w:val="Intense Quote"/>
    <w:basedOn w:val="Normal"/>
    <w:next w:val="Normal"/>
    <w:link w:val="IntenseQuoteChar"/>
    <w:uiPriority w:val="30"/>
    <w:qFormat/>
    <w:rsid w:val="001B0A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A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AAE"/>
    <w:rPr>
      <w:smallCaps/>
      <w:color w:val="auto"/>
      <w:u w:val="single"/>
    </w:rPr>
  </w:style>
  <w:style w:type="character" w:styleId="IntenseReference">
    <w:name w:val="Intense Reference"/>
    <w:basedOn w:val="DefaultParagraphFont"/>
    <w:uiPriority w:val="32"/>
    <w:qFormat/>
    <w:rsid w:val="001B0AAE"/>
    <w:rPr>
      <w:b/>
      <w:bCs/>
      <w:smallCaps/>
      <w:color w:val="auto"/>
      <w:spacing w:val="5"/>
      <w:u w:val="single"/>
    </w:rPr>
  </w:style>
  <w:style w:type="paragraph" w:customStyle="1" w:styleId="2ColumnHeading">
    <w:name w:val="2Column Heading"/>
    <w:basedOn w:val="BodyText"/>
    <w:qFormat/>
    <w:rsid w:val="001B0AAE"/>
    <w:pPr>
      <w:spacing w:after="60"/>
      <w:ind w:left="-2268"/>
    </w:pPr>
    <w:rPr>
      <w:b/>
    </w:rPr>
  </w:style>
  <w:style w:type="paragraph" w:customStyle="1" w:styleId="Heading1TOC">
    <w:name w:val="Heading1 TOC"/>
    <w:basedOn w:val="Normal"/>
    <w:qFormat/>
    <w:rsid w:val="001B0AAE"/>
    <w:pPr>
      <w:spacing w:before="240" w:after="120"/>
    </w:pPr>
    <w:rPr>
      <w:rFonts w:ascii="Times New Roman" w:hAnsi="Times New Roman"/>
      <w:b/>
      <w:sz w:val="32"/>
    </w:rPr>
  </w:style>
  <w:style w:type="paragraph" w:customStyle="1" w:styleId="Heading2TOC">
    <w:name w:val="Heading2 TOC"/>
    <w:basedOn w:val="Normal"/>
    <w:qFormat/>
    <w:rsid w:val="001B0AAE"/>
    <w:pPr>
      <w:spacing w:before="240" w:after="60"/>
    </w:pPr>
    <w:rPr>
      <w:rFonts w:ascii="Times New Roman" w:hAnsi="Times New Roman"/>
      <w:b/>
      <w:sz w:val="28"/>
    </w:rPr>
  </w:style>
  <w:style w:type="character" w:customStyle="1" w:styleId="Underline">
    <w:name w:val="Underline"/>
    <w:basedOn w:val="DefaultParagraphFont"/>
    <w:qFormat/>
    <w:rsid w:val="001B0AAE"/>
    <w:rPr>
      <w:u w:val="single"/>
    </w:rPr>
  </w:style>
  <w:style w:type="character" w:customStyle="1" w:styleId="BoldandItalics">
    <w:name w:val="Bold and Italics"/>
    <w:qFormat/>
    <w:rsid w:val="001B0AAE"/>
    <w:rPr>
      <w:b/>
      <w:i/>
      <w:u w:val="none"/>
    </w:rPr>
  </w:style>
  <w:style w:type="paragraph" w:styleId="BalloonText">
    <w:name w:val="Balloon Text"/>
    <w:basedOn w:val="Normal"/>
    <w:link w:val="BalloonTextChar"/>
    <w:rsid w:val="001B0AAE"/>
    <w:rPr>
      <w:rFonts w:ascii="Tahoma" w:hAnsi="Tahoma" w:cs="Tahoma"/>
      <w:sz w:val="16"/>
      <w:szCs w:val="16"/>
    </w:rPr>
  </w:style>
  <w:style w:type="character" w:customStyle="1" w:styleId="BalloonTextChar">
    <w:name w:val="Balloon Text Char"/>
    <w:basedOn w:val="DefaultParagraphFont"/>
    <w:link w:val="BalloonText"/>
    <w:rsid w:val="001B0A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A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A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AAE"/>
    <w:rPr>
      <w:b/>
      <w:color w:val="660033"/>
      <w:spacing w:val="0"/>
    </w:rPr>
  </w:style>
  <w:style w:type="paragraph" w:customStyle="1" w:styleId="Nameditemlist">
    <w:name w:val="Named item list"/>
    <w:basedOn w:val="BodyText"/>
    <w:qFormat/>
    <w:rsid w:val="001B0AAE"/>
    <w:pPr>
      <w:tabs>
        <w:tab w:val="left" w:pos="2835"/>
      </w:tabs>
      <w:ind w:left="2835" w:hanging="2835"/>
    </w:pPr>
  </w:style>
  <w:style w:type="paragraph" w:customStyle="1" w:styleId="BodyTextnopadding">
    <w:name w:val="Body Text no padding"/>
    <w:basedOn w:val="BodyText"/>
    <w:qFormat/>
    <w:rsid w:val="001B0AAE"/>
    <w:pPr>
      <w:spacing w:before="0" w:after="0"/>
    </w:pPr>
  </w:style>
  <w:style w:type="paragraph" w:customStyle="1" w:styleId="BodyTextBold">
    <w:name w:val="Body Text Bold"/>
    <w:basedOn w:val="BodyText"/>
    <w:qFormat/>
    <w:rsid w:val="001B0AAE"/>
    <w:rPr>
      <w:b/>
    </w:rPr>
  </w:style>
  <w:style w:type="character" w:styleId="Hyperlink">
    <w:name w:val="Hyperlink"/>
    <w:basedOn w:val="DefaultParagraphFont"/>
    <w:uiPriority w:val="99"/>
    <w:unhideWhenUsed/>
    <w:rsid w:val="00A839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1824</Words>
  <Characters>12369</Characters>
  <Application>Microsoft Office Word</Application>
  <DocSecurity>0</DocSecurity>
  <Lines>374</Lines>
  <Paragraphs>197</Paragraphs>
  <ScaleCrop>false</ScaleCrop>
  <Company>Author-it Software Corporation Ltd.</Company>
  <LinksUpToDate>false</LinksUpToDate>
  <CharactersWithSpaces>13996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UETTDRSO44 Develop crisis power systems management plans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2025-03-01T21:07:00Z</dcterms:created>
  <dcterms:modified xsi:type="dcterms:W3CDTF">2025-03-01T21:07:00Z</dcterms:modified>
</cp:coreProperties>
</file>