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111D" w:rsidP="001611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UETTDRSO42 Manage power systems transmission network demand</w:t>
      </w:r>
      <w:r>
        <w:fldChar w:fldCharType="end"/>
      </w:r>
    </w:p>
    <w:p w:rsidR="0016111D" w:rsidP="0016111D">
      <w:pPr>
        <w:pStyle w:val="Version"/>
        <w:sectPr w:rsidSect="00A152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52FB" w:rsidP="00A152FB">
      <w:pPr>
        <w:pStyle w:val="SuperHeading"/>
      </w:pPr>
      <w:r w:rsidRPr="00A152FB">
        <w:t>Assessment Requirements for UETTDRSO42 Manage power systems transmission network demand</w:t>
      </w:r>
    </w:p>
    <w:p w:rsidR="00000000" w:rsidRPr="00A152FB" w:rsidP="00A152FB">
      <w:pPr>
        <w:pStyle w:val="Heading1"/>
      </w:pPr>
      <w:bookmarkStart w:id="1" w:name="O_1004977"/>
      <w:bookmarkEnd w:id="1"/>
      <w:r w:rsidRPr="00A152F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52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2FB" w:rsidP="00A152FB">
            <w:pPr>
              <w:pStyle w:val="BodyText"/>
            </w:pPr>
            <w:r w:rsidRPr="00A152FB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A152FB" w:rsidP="00A152FB">
      <w:pPr>
        <w:pStyle w:val="NoPaddingFontSize1"/>
      </w:pPr>
    </w:p>
    <w:p w:rsidR="00000000" w:rsidRPr="00A152FB" w:rsidP="00A152FB">
      <w:pPr>
        <w:pStyle w:val="AllowPageBreak"/>
      </w:pPr>
    </w:p>
    <w:p w:rsidR="00000000" w:rsidRPr="00A152FB" w:rsidP="00A152FB">
      <w:pPr>
        <w:pStyle w:val="Heading1"/>
      </w:pPr>
      <w:bookmarkStart w:id="2" w:name="O_1004978"/>
      <w:bookmarkEnd w:id="2"/>
      <w:r w:rsidRPr="00A152F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52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2FB">
            <w:pPr>
              <w:pStyle w:val="BodyText"/>
              <w:rPr>
                <w:lang w:val="en-NZ"/>
              </w:rPr>
            </w:pPr>
            <w:r w:rsidRPr="00A152FB">
              <w:t>Evidence required to demonstrate competence in this unit must be relevant to a</w:t>
            </w:r>
            <w:r w:rsidRPr="00A152FB">
              <w:t xml:space="preserve">nd satisfy all of the requirements of the elements and performance criteria on at least two separate occasions and include:  </w:t>
            </w:r>
          </w:p>
        </w:tc>
      </w:tr>
      <w:tr w:rsidTr="00A152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2FB" w:rsidP="00A152FB">
            <w:pPr>
              <w:pStyle w:val="ListBullet"/>
            </w:pPr>
            <w:r w:rsidRPr="00A152FB">
              <w:t>applying relevant work health and safety (WHS)/occupational health and safety (OHS) requirements, including the use of risk cont</w:t>
            </w:r>
            <w:r w:rsidRPr="00A152FB">
              <w:t>rol measures</w:t>
            </w:r>
          </w:p>
          <w:p w:rsidR="00000000" w:rsidRPr="00A152FB" w:rsidP="00A152FB">
            <w:pPr>
              <w:pStyle w:val="ListBullet"/>
            </w:pPr>
            <w:r w:rsidRPr="00A152FB">
              <w:t>applying sustainable energy principles and practices</w:t>
            </w:r>
          </w:p>
          <w:p w:rsidR="00000000" w:rsidRPr="00A152FB" w:rsidP="00A152FB">
            <w:pPr>
              <w:pStyle w:val="ListBullet"/>
            </w:pPr>
            <w:r w:rsidRPr="00A152FB">
              <w:t>demonstrating at least three (3) system manipulations encompassing:</w:t>
            </w:r>
          </w:p>
          <w:p w:rsidR="00000000" w:rsidRPr="00A152FB" w:rsidP="00A152FB">
            <w:pPr>
              <w:pStyle w:val="ListBullet2"/>
            </w:pPr>
            <w:r w:rsidRPr="00A152FB">
              <w:t>extra high voltage (EHV) transmission network</w:t>
            </w:r>
          </w:p>
          <w:p w:rsidR="00000000" w:rsidRPr="00A152FB" w:rsidP="00A152FB">
            <w:pPr>
              <w:pStyle w:val="ListBullet2"/>
            </w:pPr>
            <w:r w:rsidRPr="00A152FB">
              <w:t>transmission network manipulation to control loading on equipment</w:t>
            </w:r>
          </w:p>
          <w:p w:rsidR="00000000" w:rsidRPr="00A152FB" w:rsidP="00A152FB">
            <w:pPr>
              <w:pStyle w:val="ListBullet2"/>
            </w:pPr>
            <w:r w:rsidRPr="00A152FB">
              <w:t>transformers with EHV windings</w:t>
            </w:r>
          </w:p>
          <w:p w:rsidR="00000000" w:rsidRPr="00A152FB" w:rsidP="00A152FB">
            <w:pPr>
              <w:pStyle w:val="ListBullet2"/>
            </w:pPr>
            <w:r w:rsidRPr="00A152FB">
              <w:t>EHV busbars</w:t>
            </w:r>
          </w:p>
          <w:p w:rsidR="00000000" w:rsidRPr="00A152FB" w:rsidP="00A152FB">
            <w:pPr>
              <w:pStyle w:val="ListBullet2"/>
            </w:pPr>
            <w:r w:rsidRPr="00A152FB">
              <w:t>EHV isolators</w:t>
            </w:r>
          </w:p>
          <w:p w:rsidR="00000000" w:rsidRPr="00A152FB" w:rsidP="00A152FB">
            <w:pPr>
              <w:pStyle w:val="ListBullet2"/>
            </w:pPr>
            <w:r w:rsidRPr="00A152FB">
              <w:t>EHV switchgear (applicable to enterprise equipment)</w:t>
            </w:r>
          </w:p>
          <w:p w:rsidR="00000000" w:rsidRPr="00A152FB" w:rsidP="00A152FB">
            <w:pPr>
              <w:pStyle w:val="ListBullet2"/>
            </w:pPr>
            <w:r w:rsidRPr="00A152FB">
              <w:t>dispatch of static/synchronous VAR compensation (if applicable to enterprise)</w:t>
            </w:r>
          </w:p>
          <w:p w:rsidR="00000000" w:rsidRPr="00A152FB" w:rsidP="00A152FB">
            <w:pPr>
              <w:pStyle w:val="ListBullet2"/>
            </w:pPr>
            <w:r w:rsidRPr="00A152FB">
              <w:t>dispatch of generation (if applicable to enterprise)</w:t>
            </w:r>
          </w:p>
          <w:p w:rsidR="00000000" w:rsidRPr="00A152FB" w:rsidP="00A152FB">
            <w:pPr>
              <w:pStyle w:val="ListBullet"/>
            </w:pPr>
            <w:r w:rsidRPr="00A152FB">
              <w:t>undertaking all</w:t>
            </w:r>
            <w:r w:rsidRPr="00A152FB">
              <w:t xml:space="preserve"> of the following:</w:t>
            </w:r>
          </w:p>
          <w:p w:rsidR="00000000" w:rsidRPr="00A152FB" w:rsidP="00A152FB">
            <w:pPr>
              <w:pStyle w:val="ListBullet2"/>
            </w:pPr>
            <w:r w:rsidRPr="00A152FB">
              <w:t>writing switching instructions</w:t>
            </w:r>
          </w:p>
          <w:p w:rsidR="00000000" w:rsidRPr="00A152FB" w:rsidP="00A152FB">
            <w:pPr>
              <w:pStyle w:val="ListBullet2"/>
            </w:pPr>
            <w:r w:rsidRPr="00A152FB">
              <w:t>analysing and reviewing switching instructions</w:t>
            </w:r>
          </w:p>
          <w:p w:rsidR="00000000" w:rsidRPr="00A152FB" w:rsidP="00A152FB">
            <w:pPr>
              <w:pStyle w:val="ListBullet2"/>
            </w:pPr>
            <w:r w:rsidRPr="00A152FB">
              <w:t>managing multiple switching instructions</w:t>
            </w:r>
          </w:p>
          <w:p w:rsidR="00000000" w:rsidRPr="00A152FB" w:rsidP="00A152FB">
            <w:pPr>
              <w:pStyle w:val="ListBullet2"/>
            </w:pPr>
            <w:r w:rsidRPr="00A152FB">
              <w:t>calculating line loading</w:t>
            </w:r>
          </w:p>
          <w:p w:rsidR="00000000" w:rsidRPr="00A152FB" w:rsidP="00A152FB">
            <w:pPr>
              <w:pStyle w:val="ListBullet2"/>
            </w:pPr>
            <w:r w:rsidRPr="00A152FB">
              <w:t>preparing and authorising EHV transmission switching programs</w:t>
            </w:r>
          </w:p>
          <w:p w:rsidR="00000000" w:rsidRPr="00A152FB" w:rsidP="00A152FB">
            <w:pPr>
              <w:pStyle w:val="ListBullet2"/>
            </w:pPr>
            <w:r w:rsidRPr="00A152FB">
              <w:t xml:space="preserve">demonstrating application and </w:t>
            </w:r>
            <w:r w:rsidRPr="00A152FB">
              <w:t>administration of supervisory control and data acquisition (SCADA) or equivalent</w:t>
            </w:r>
          </w:p>
          <w:p w:rsidR="00000000" w:rsidRPr="00A152FB" w:rsidP="00A152FB">
            <w:pPr>
              <w:pStyle w:val="ListBullet2"/>
            </w:pPr>
            <w:r w:rsidRPr="00A152FB">
              <w:t>analysing and diagnosing of system failure</w:t>
            </w:r>
          </w:p>
          <w:p w:rsidR="00000000" w:rsidRPr="00A152FB" w:rsidP="00A152FB">
            <w:pPr>
              <w:pStyle w:val="ListBullet2"/>
            </w:pPr>
            <w:r w:rsidRPr="00A152FB">
              <w:t>calculating and analysing transmission line conditions on the interconnected EHV system</w:t>
            </w:r>
          </w:p>
          <w:p w:rsidR="00000000" w:rsidRPr="00A152FB" w:rsidP="00A152FB">
            <w:pPr>
              <w:pStyle w:val="ListBullet"/>
            </w:pPr>
            <w:r w:rsidRPr="00A152FB">
              <w:t>preparing, writing and checking switching sheets to:</w:t>
            </w:r>
          </w:p>
          <w:p w:rsidR="00000000" w:rsidRPr="00A152FB" w:rsidP="00A152FB">
            <w:pPr>
              <w:pStyle w:val="ListBullet2"/>
            </w:pPr>
            <w:r w:rsidRPr="00A152FB">
              <w:t>manage load</w:t>
            </w:r>
          </w:p>
          <w:p w:rsidR="00000000" w:rsidRPr="00A152FB" w:rsidP="00A152FB">
            <w:pPr>
              <w:pStyle w:val="ListBullet2"/>
            </w:pPr>
            <w:r w:rsidRPr="00A152FB">
              <w:t>manage voltage</w:t>
            </w:r>
          </w:p>
          <w:p w:rsidR="00000000" w:rsidRPr="00A152FB" w:rsidP="00A152FB">
            <w:pPr>
              <w:pStyle w:val="ListBullet2"/>
            </w:pPr>
            <w:r w:rsidRPr="00A152FB">
              <w:t>minimise loss</w:t>
            </w:r>
          </w:p>
          <w:p w:rsidR="00000000" w:rsidRPr="00A152FB" w:rsidP="00A152FB">
            <w:pPr>
              <w:pStyle w:val="ListBullet2"/>
            </w:pPr>
            <w:r w:rsidRPr="00A152FB">
              <w:t>maximise system reliability</w:t>
            </w:r>
          </w:p>
          <w:p w:rsidR="00000000" w:rsidRPr="00A152FB" w:rsidP="00A152FB">
            <w:pPr>
              <w:pStyle w:val="ListBullet2"/>
            </w:pPr>
            <w:r w:rsidRPr="00A152FB">
              <w:t>allow safe network access for maintenance activities</w:t>
            </w:r>
          </w:p>
          <w:p w:rsidR="00000000" w:rsidRPr="00A152FB" w:rsidP="00A152FB">
            <w:pPr>
              <w:pStyle w:val="ListBullet2"/>
            </w:pPr>
            <w:r w:rsidRPr="00A152FB">
              <w:t>allow safe network access for construction activities</w:t>
            </w:r>
          </w:p>
          <w:p w:rsidR="00000000" w:rsidRPr="00A152FB" w:rsidP="00A152FB">
            <w:pPr>
              <w:pStyle w:val="ListBullet2"/>
            </w:pPr>
            <w:r w:rsidRPr="00A152FB">
              <w:t>validating fault reports a</w:t>
            </w:r>
            <w:r w:rsidRPr="00A152FB">
              <w:t>rising from system disturbances</w:t>
            </w:r>
          </w:p>
          <w:p w:rsidR="00000000" w:rsidRPr="00A152FB" w:rsidP="00A152FB">
            <w:pPr>
              <w:pStyle w:val="ListBullet2"/>
            </w:pPr>
            <w:r w:rsidRPr="00A152FB">
              <w:t>dispatch static/synchronous VAR compensation (if applicable to enterprise)</w:t>
            </w:r>
          </w:p>
          <w:p w:rsidR="00000000" w:rsidRPr="00A152FB" w:rsidP="00A152FB">
            <w:pPr>
              <w:pStyle w:val="ListBullet2"/>
            </w:pPr>
            <w:r w:rsidRPr="00A152FB">
              <w:t>dispatch generation (if applicable to enterprise)</w:t>
            </w:r>
          </w:p>
          <w:p w:rsidR="00000000" w:rsidRPr="00A152FB" w:rsidP="00A152FB">
            <w:pPr>
              <w:pStyle w:val="ListBullet"/>
            </w:pPr>
            <w:r w:rsidRPr="00A152FB">
              <w:t>dealing with unplanned events on at least one (1) occasion.</w:t>
            </w:r>
          </w:p>
        </w:tc>
      </w:tr>
    </w:tbl>
    <w:p w:rsidR="00000000" w:rsidRPr="00A152FB" w:rsidP="00A152FB">
      <w:pPr>
        <w:pStyle w:val="NoPaddingFontSize1"/>
      </w:pPr>
    </w:p>
    <w:p w:rsidR="00000000" w:rsidRPr="00A152FB" w:rsidP="00A152FB">
      <w:pPr>
        <w:pStyle w:val="AllowPageBreak"/>
      </w:pPr>
    </w:p>
    <w:p w:rsidR="00000000" w:rsidRPr="00A152FB" w:rsidP="00A152FB">
      <w:pPr>
        <w:pStyle w:val="Heading1"/>
      </w:pPr>
      <w:bookmarkStart w:id="3" w:name="O_1004979"/>
      <w:bookmarkEnd w:id="3"/>
      <w:r w:rsidRPr="00A152F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52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2FB">
            <w:pPr>
              <w:pStyle w:val="BodyText"/>
              <w:rPr>
                <w:lang w:val="en-NZ"/>
              </w:rPr>
            </w:pPr>
            <w:r w:rsidRPr="00A152FB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A152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2FB" w:rsidP="00A152FB">
            <w:pPr>
              <w:pStyle w:val="ListBullet"/>
            </w:pPr>
            <w:r w:rsidRPr="00A152FB">
              <w:t>enterprise-specific procedures and work practices relat</w:t>
            </w:r>
            <w:r w:rsidRPr="00A152FB">
              <w:t>ing to managing network demand encompassing:</w:t>
            </w:r>
          </w:p>
          <w:p w:rsidR="00000000" w:rsidRPr="00A152FB" w:rsidP="00A152FB">
            <w:pPr>
              <w:pStyle w:val="ListBullet2"/>
            </w:pPr>
            <w:r w:rsidRPr="00A152FB">
              <w:t xml:space="preserve">Commonwealth/state/territory and local government legislation, supply authority regulations, standards, codes and/or enterprise requirements applicable to the procedures and work practices relating to managing </w:t>
            </w:r>
            <w:r w:rsidRPr="00A152FB">
              <w:t>network demand</w:t>
            </w:r>
          </w:p>
          <w:p w:rsidR="00000000" w:rsidRPr="00A152FB" w:rsidP="00A152FB">
            <w:pPr>
              <w:pStyle w:val="ListBullet2"/>
            </w:pPr>
            <w:r w:rsidRPr="00A152FB">
              <w:t xml:space="preserve">requirements for the use of demand management manuals, system diagrams/plans and drawings </w:t>
            </w:r>
          </w:p>
          <w:p w:rsidR="00000000" w:rsidRPr="00A152FB" w:rsidP="00A152FB">
            <w:pPr>
              <w:pStyle w:val="ListBullet2"/>
            </w:pPr>
            <w:r w:rsidRPr="00A152FB">
              <w:t>identify and interpret enterprise demand management procedures</w:t>
            </w:r>
          </w:p>
          <w:p w:rsidR="00000000" w:rsidRPr="00A152FB" w:rsidP="00A152FB">
            <w:pPr>
              <w:pStyle w:val="ListBullet2"/>
            </w:pPr>
            <w:r w:rsidRPr="00A152FB">
              <w:t>techniques in applying enterprise demand management procedures</w:t>
            </w:r>
          </w:p>
          <w:p w:rsidR="00000000" w:rsidRPr="00A152FB" w:rsidP="00A152FB">
            <w:pPr>
              <w:pStyle w:val="ListBullet"/>
            </w:pPr>
            <w:r w:rsidRPr="00A152FB">
              <w:t>effective management and communication encompassing:</w:t>
            </w:r>
          </w:p>
          <w:p w:rsidR="00000000" w:rsidRPr="00A152FB" w:rsidP="00A152FB">
            <w:pPr>
              <w:pStyle w:val="ListBullet2"/>
            </w:pPr>
            <w:r w:rsidRPr="00A152FB">
              <w:t>Commonwealth/state/territory and local government legislation, standards, codes, supply authority regulations and/or enterprise requirements applicable to assisting in effective management and communica</w:t>
            </w:r>
            <w:r w:rsidRPr="00A152FB">
              <w:t>tion</w:t>
            </w:r>
          </w:p>
          <w:p w:rsidR="00000000" w:rsidRPr="00A152FB" w:rsidP="00A152FB">
            <w:pPr>
              <w:pStyle w:val="ListBullet2"/>
            </w:pPr>
            <w:r w:rsidRPr="00A152FB">
              <w:t>enterprise operational principles - workplace WHS/OHS enterprise plan, environmental enterprise policies and procedures, industrial relations policies and procedures, and anti-discrimination policies and procedures</w:t>
            </w:r>
          </w:p>
          <w:p w:rsidR="00000000" w:rsidRPr="00A152FB" w:rsidP="00A152FB">
            <w:pPr>
              <w:pStyle w:val="ListBullet2"/>
            </w:pPr>
            <w:r w:rsidRPr="00A152FB">
              <w:t xml:space="preserve">relationship between the management </w:t>
            </w:r>
            <w:r w:rsidRPr="00A152FB">
              <w:t>and employees - methods used to collate and distribute/disseminate information, responsibilities of each member of the work team, staff development activities and legislation requirements with regard to WHS/OHS training, methods of addressing barriers, suc</w:t>
            </w:r>
            <w:r w:rsidRPr="00A152FB">
              <w:t>h as literacy and cultural differences, and provisions relating to WHS/OHS issue resolution</w:t>
            </w:r>
          </w:p>
          <w:p w:rsidR="00000000" w:rsidRPr="00A152FB" w:rsidP="00A152FB">
            <w:pPr>
              <w:pStyle w:val="ListBullet2"/>
            </w:pPr>
            <w:r w:rsidRPr="00A152FB">
              <w:t>techniques associated with organisational policies and procedures related to human resources - relevant awards and certified agreements, legislation impacting on pe</w:t>
            </w:r>
            <w:r w:rsidRPr="00A152FB">
              <w:t>ople management, and range of support services and expertise available</w:t>
            </w:r>
          </w:p>
          <w:p w:rsidR="00000000" w:rsidRPr="00A152FB" w:rsidP="00A152FB">
            <w:pPr>
              <w:pStyle w:val="ListBullet2"/>
            </w:pPr>
            <w:r w:rsidRPr="00A152FB">
              <w:t>techniques in managing relationships - identifying problems; methods of conflict resolution; methods of consultation, communication, negotiation and mentoring; and strategies for positi</w:t>
            </w:r>
            <w:r w:rsidRPr="00A152FB">
              <w:t>ve feedback</w:t>
            </w:r>
          </w:p>
          <w:p w:rsidR="00000000" w:rsidRPr="00A152FB" w:rsidP="00A152FB">
            <w:pPr>
              <w:pStyle w:val="ListBullet2"/>
            </w:pPr>
            <w:r w:rsidRPr="00A152FB">
              <w:t>techniques in leadership in achieving enterprise strategic and operational plans</w:t>
            </w:r>
          </w:p>
          <w:p w:rsidR="00000000" w:rsidRPr="00A152FB" w:rsidP="00A152FB">
            <w:pPr>
              <w:pStyle w:val="ListBullet2"/>
            </w:pPr>
            <w:r w:rsidRPr="00A152FB">
              <w:t>techniques in managing relationships under stress - stress management</w:t>
            </w:r>
          </w:p>
          <w:p w:rsidR="00000000" w:rsidRPr="00A152FB" w:rsidP="00A152FB">
            <w:pPr>
              <w:pStyle w:val="ListBullet"/>
            </w:pPr>
            <w:r w:rsidRPr="00A152FB">
              <w:t>methodology used in writing enterprise-specific management reports encompassing:</w:t>
            </w:r>
          </w:p>
          <w:p w:rsidR="00000000" w:rsidRPr="00A152FB" w:rsidP="00A152FB">
            <w:pPr>
              <w:pStyle w:val="ListBullet2"/>
            </w:pPr>
            <w:r w:rsidRPr="00A152FB">
              <w:t>Commonweal</w:t>
            </w:r>
            <w:r w:rsidRPr="00A152FB">
              <w:t xml:space="preserve">th/state/territory and local government legislation, supply authority regulations, standards, codes and/or enterprise requirements applicable to the writing </w:t>
            </w:r>
            <w:r w:rsidRPr="00A152FB">
              <w:t>enterprise-specific management reports</w:t>
            </w:r>
          </w:p>
          <w:p w:rsidR="00000000" w:rsidRPr="00A152FB" w:rsidP="00A152FB">
            <w:pPr>
              <w:pStyle w:val="ListBullet2"/>
            </w:pPr>
            <w:r w:rsidRPr="00A152FB">
              <w:t>techniques in researching, collating and analysing informati</w:t>
            </w:r>
            <w:r w:rsidRPr="00A152FB">
              <w:t>on for the report - recording, filing, retrieving systems, and storing and retrieving data from computer systems</w:t>
            </w:r>
          </w:p>
          <w:p w:rsidR="00000000" w:rsidRPr="00A152FB" w:rsidP="00A152FB">
            <w:pPr>
              <w:pStyle w:val="ListBullet2"/>
            </w:pPr>
            <w:r w:rsidRPr="00A152FB">
              <w:t>relationship of management reports to</w:t>
            </w:r>
            <w:r w:rsidRPr="00A152FB">
              <w:t xml:space="preserve"> enterprise policies and procedures - enterprise structure and resources, workplace WHS/OHS and risk management enterprise data, financial and operational data, environmental enterprise policies and procedures, industrial relations policies and procedures,</w:t>
            </w:r>
            <w:r w:rsidRPr="00A152FB">
              <w:t xml:space="preserve"> and anti-discrimination policies and procedures</w:t>
            </w:r>
          </w:p>
          <w:p w:rsidR="00000000" w:rsidRPr="00A152FB" w:rsidP="00A152FB">
            <w:pPr>
              <w:pStyle w:val="ListBullet2"/>
            </w:pPr>
            <w:r w:rsidRPr="00A152FB">
              <w:t xml:space="preserve">techniques in writing enterprise-specific management reports - methods used to disseminate information and facilitate enterprise requirements, document proformas, and compliance and legislative requirements </w:t>
            </w:r>
            <w:r w:rsidRPr="00A152FB">
              <w:t>to produce effective reports in the appropriate format.</w:t>
            </w:r>
          </w:p>
        </w:tc>
      </w:tr>
    </w:tbl>
    <w:p w:rsidR="00000000" w:rsidRPr="00A152FB" w:rsidP="00A152FB">
      <w:pPr>
        <w:pStyle w:val="NoPaddingFontSize1"/>
      </w:pPr>
    </w:p>
    <w:p w:rsidR="00000000" w:rsidRPr="00A152FB" w:rsidP="00A152FB">
      <w:pPr>
        <w:pStyle w:val="AllowPageBreak"/>
      </w:pPr>
    </w:p>
    <w:p w:rsidR="00000000" w:rsidRPr="00A152FB" w:rsidP="00A152FB">
      <w:pPr>
        <w:pStyle w:val="Heading1"/>
      </w:pPr>
      <w:bookmarkStart w:id="4" w:name="O_1004980"/>
      <w:bookmarkEnd w:id="4"/>
      <w:r w:rsidRPr="00A152F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52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2FB" w:rsidP="00A152FB">
            <w:pPr>
              <w:pStyle w:val="BodyText"/>
            </w:pPr>
            <w:r w:rsidRPr="00A152FB">
              <w:t>Assessors must hold credentials specified within the Standards for Registered Training Organisations current at the time of assessment.</w:t>
            </w:r>
          </w:p>
          <w:p w:rsidR="00000000" w:rsidRPr="00A152FB" w:rsidP="00A152FB">
            <w:pPr>
              <w:pStyle w:val="BodyText"/>
            </w:pPr>
            <w:r w:rsidRPr="00A152FB">
              <w:t>Assessment must satis</w:t>
            </w:r>
            <w:r w:rsidRPr="00A152FB">
              <w:t>fy the Principles of Assessment and Rules of Evidence and all regulatory requirements included within the Standards for Registered Training Organisations current at the time of assessment.</w:t>
            </w:r>
          </w:p>
          <w:p w:rsidR="00000000" w:rsidRPr="00A152FB" w:rsidP="00A152FB">
            <w:pPr>
              <w:pStyle w:val="BodyText"/>
            </w:pPr>
            <w:r w:rsidRPr="00A152FB">
              <w:t xml:space="preserve">Assessment must occur in workplace operational situations where it </w:t>
            </w:r>
            <w:r w:rsidRPr="00A152FB">
              <w:t>is appropriate to do so; where this is not appropriate, assessment must occur in simulated conditions involving realistic and authentic activities that replicate operational workplace conditions.</w:t>
            </w:r>
          </w:p>
          <w:p w:rsidR="00000000" w:rsidRPr="00A152FB" w:rsidP="00A152FB">
            <w:pPr>
              <w:pStyle w:val="BodyText"/>
            </w:pPr>
            <w:r w:rsidRPr="00A152FB">
              <w:t>Assessment processes and techniques must be appropriate to t</w:t>
            </w:r>
            <w:r w:rsidRPr="00A152FB">
              <w:t>he language, literacy and numeracy requirements of the work being performed and the needs of the candidate.</w:t>
            </w:r>
          </w:p>
          <w:p w:rsidR="00000000" w:rsidRPr="00A152FB" w:rsidP="00A152FB">
            <w:pPr>
              <w:pStyle w:val="BodyText"/>
            </w:pPr>
            <w:r w:rsidRPr="00A152FB">
              <w:t>Resources for assessment must include access to:</w:t>
            </w:r>
          </w:p>
          <w:p w:rsidR="00000000" w:rsidRPr="00A152FB" w:rsidP="00A152FB">
            <w:pPr>
              <w:pStyle w:val="ListBullet"/>
            </w:pPr>
            <w:r w:rsidRPr="00A152FB">
              <w:t>a range of relevant exercises, case studies and/or other simulations</w:t>
            </w:r>
          </w:p>
          <w:p w:rsidR="00000000" w:rsidRPr="00A152FB" w:rsidP="00A152FB">
            <w:pPr>
              <w:pStyle w:val="ListBullet"/>
            </w:pPr>
            <w:r w:rsidRPr="00A152FB">
              <w:t>relevant and appropriate materials, tools, computerised electrical plant control and monitoring facilities, equipment and personal protective equipment (PPE) currently used in industry</w:t>
            </w:r>
          </w:p>
          <w:p w:rsidR="00000000" w:rsidRPr="00A152FB" w:rsidP="00A152FB">
            <w:pPr>
              <w:pStyle w:val="ListBullet"/>
            </w:pPr>
            <w:r w:rsidRPr="00A152FB">
              <w:t>applicable documentation, including workplace procedures, equipment spe</w:t>
            </w:r>
            <w:r w:rsidRPr="00A152FB">
              <w:t>cifications, regulations, relevant network modelling tools, drawings, operational event data, codes of practice and operation manuals.</w:t>
            </w:r>
          </w:p>
        </w:tc>
      </w:tr>
    </w:tbl>
    <w:p w:rsidR="00000000" w:rsidRPr="00A152FB" w:rsidP="00A152FB">
      <w:pPr>
        <w:pStyle w:val="NoPaddingFontSize1"/>
      </w:pPr>
    </w:p>
    <w:p w:rsidR="00000000" w:rsidRPr="00A152FB" w:rsidP="00A152FB">
      <w:pPr>
        <w:pStyle w:val="AllowPageBreak"/>
      </w:pPr>
    </w:p>
    <w:p w:rsidR="00000000" w:rsidRPr="00A152FB" w:rsidP="00A152FB">
      <w:pPr>
        <w:pStyle w:val="Heading1"/>
      </w:pPr>
      <w:bookmarkStart w:id="5" w:name="O_1004983"/>
      <w:bookmarkEnd w:id="5"/>
      <w:r w:rsidRPr="00A152FB">
        <w:t>Links</w:t>
      </w:r>
    </w:p>
    <w:p w:rsidR="00000000" w:rsidRPr="00A152FB" w:rsidP="0016111D">
      <w:pPr>
        <w:pStyle w:val="BodyText"/>
      </w:pPr>
      <w:r w:rsidRPr="00A152FB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C23429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A152FB" w:rsidP="00A152FB"/>
    <w:sectPr w:rsidSect="00A152F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2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2FB" w:rsidRPr="0016111D" w:rsidP="001611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2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11D" w:rsidP="00A152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111D" w:rsidP="00A152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6111D" w:rsidP="00A152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2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1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52FB" w:rsidRPr="0016111D" w:rsidP="001611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2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11D" w:rsidRPr="002D2AF8" w:rsidP="00A152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UETTDRSO42 Manage power systems transmission network demand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March 2021</w:t>
    </w:r>
    <w:r>
      <w:fldChar w:fldCharType="end"/>
    </w:r>
  </w:p>
  <w:p w:rsidR="0016111D" w:rsidP="00A152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4008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5E8F3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00DA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52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52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52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52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52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52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52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52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52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52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52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52FB"/>
  </w:style>
  <w:style w:type="character" w:customStyle="1" w:styleId="Heading1Char">
    <w:name w:val="Heading 1 Char"/>
    <w:basedOn w:val="DefaultParagraphFont"/>
    <w:link w:val="Heading1"/>
    <w:rsid w:val="00A152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52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52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52F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152F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152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52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152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52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52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52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52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52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52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52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52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52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52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52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52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52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52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52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52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52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52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52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152FB"/>
    <w:rPr>
      <w:b/>
      <w:spacing w:val="0"/>
    </w:rPr>
  </w:style>
  <w:style w:type="paragraph" w:customStyle="1" w:styleId="SuperTitle">
    <w:name w:val="SuperTitle"/>
    <w:basedOn w:val="Title"/>
    <w:rsid w:val="00A152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52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52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152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52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52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52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52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52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52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52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52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52FB"/>
    <w:rPr>
      <w:i/>
    </w:rPr>
  </w:style>
  <w:style w:type="paragraph" w:styleId="Caption">
    <w:name w:val="caption"/>
    <w:basedOn w:val="BodyText"/>
    <w:next w:val="Normal"/>
    <w:qFormat/>
    <w:rsid w:val="00A152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52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52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52FB"/>
  </w:style>
  <w:style w:type="paragraph" w:styleId="TableofFigures">
    <w:name w:val="table of figures"/>
    <w:basedOn w:val="Normal"/>
    <w:next w:val="Normal"/>
    <w:semiHidden/>
    <w:rsid w:val="00A152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52F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152FB"/>
    <w:rPr>
      <w:rFonts w:ascii="Wingdings" w:hAnsi="Wingdings"/>
    </w:rPr>
  </w:style>
  <w:style w:type="paragraph" w:customStyle="1" w:styleId="TableHeading">
    <w:name w:val="Table Heading"/>
    <w:basedOn w:val="HeadingBase"/>
    <w:rsid w:val="00A152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52FB"/>
    <w:rPr>
      <w:color w:val="0033CC"/>
      <w:u w:val="none"/>
    </w:rPr>
  </w:style>
  <w:style w:type="paragraph" w:customStyle="1" w:styleId="BodyTextRight">
    <w:name w:val="Body Text Right"/>
    <w:basedOn w:val="BodyText"/>
    <w:rsid w:val="00A152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52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52F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52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52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52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52FB"/>
    <w:rPr>
      <w:sz w:val="32"/>
    </w:rPr>
  </w:style>
  <w:style w:type="paragraph" w:customStyle="1" w:styleId="HeadingProcedure">
    <w:name w:val="Heading Procedure"/>
    <w:basedOn w:val="HeadingBase"/>
    <w:next w:val="Normal"/>
    <w:rsid w:val="00A152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52FB"/>
    <w:pPr>
      <w:spacing w:before="60" w:after="60"/>
    </w:pPr>
  </w:style>
  <w:style w:type="paragraph" w:styleId="ListContinue">
    <w:name w:val="List Continue"/>
    <w:basedOn w:val="List"/>
    <w:rsid w:val="00A152FB"/>
    <w:pPr>
      <w:ind w:firstLine="0"/>
    </w:pPr>
  </w:style>
  <w:style w:type="paragraph" w:customStyle="1" w:styleId="ListNote">
    <w:name w:val="List Note"/>
    <w:basedOn w:val="List"/>
    <w:rsid w:val="00A152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52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52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52FB"/>
    <w:rPr>
      <w:rFonts w:ascii="Courier New" w:hAnsi="Courier New"/>
    </w:rPr>
  </w:style>
  <w:style w:type="paragraph" w:customStyle="1" w:styleId="NoteBullet">
    <w:name w:val="Note Bullet"/>
    <w:basedOn w:val="Note"/>
    <w:rsid w:val="00A152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52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52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52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52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152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52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52FB"/>
    <w:rPr>
      <w:b/>
      <w:smallCaps/>
    </w:rPr>
  </w:style>
  <w:style w:type="paragraph" w:customStyle="1" w:styleId="TableListNumber">
    <w:name w:val="Table List Number"/>
    <w:basedOn w:val="ListNumber"/>
    <w:rsid w:val="00A152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52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52FB"/>
    <w:pPr>
      <w:numPr>
        <w:numId w:val="9"/>
      </w:numPr>
    </w:pPr>
  </w:style>
  <w:style w:type="paragraph" w:customStyle="1" w:styleId="ListAlpha2">
    <w:name w:val="List Alpha 2"/>
    <w:basedOn w:val="List2"/>
    <w:rsid w:val="00A152FB"/>
    <w:pPr>
      <w:numPr>
        <w:numId w:val="8"/>
      </w:numPr>
    </w:pPr>
  </w:style>
  <w:style w:type="paragraph" w:styleId="List2">
    <w:name w:val="List 2"/>
    <w:basedOn w:val="BodyText"/>
    <w:rsid w:val="00A152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52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52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52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52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52F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152FB"/>
    <w:pPr>
      <w:numPr>
        <w:numId w:val="4"/>
      </w:numPr>
    </w:pPr>
  </w:style>
  <w:style w:type="paragraph" w:styleId="ListContinue2">
    <w:name w:val="List Continue 2"/>
    <w:basedOn w:val="List2"/>
    <w:rsid w:val="00A152FB"/>
    <w:pPr>
      <w:ind w:firstLine="0"/>
    </w:pPr>
  </w:style>
  <w:style w:type="paragraph" w:styleId="ListContinue3">
    <w:name w:val="List Continue 3"/>
    <w:basedOn w:val="List3"/>
    <w:rsid w:val="00A152FB"/>
    <w:pPr>
      <w:ind w:left="1021" w:firstLine="0"/>
    </w:pPr>
  </w:style>
  <w:style w:type="paragraph" w:styleId="ListContinue4">
    <w:name w:val="List Continue 4"/>
    <w:basedOn w:val="List4"/>
    <w:rsid w:val="00A152FB"/>
    <w:pPr>
      <w:ind w:firstLine="0"/>
    </w:pPr>
  </w:style>
  <w:style w:type="paragraph" w:styleId="ListContinue5">
    <w:name w:val="List Continue 5"/>
    <w:basedOn w:val="List5"/>
    <w:rsid w:val="00A152FB"/>
    <w:pPr>
      <w:ind w:firstLine="0"/>
    </w:pPr>
  </w:style>
  <w:style w:type="paragraph" w:styleId="ListNumber3">
    <w:name w:val="List Number 3"/>
    <w:basedOn w:val="List3"/>
    <w:rsid w:val="00A152FB"/>
    <w:pPr>
      <w:numPr>
        <w:numId w:val="5"/>
      </w:numPr>
    </w:pPr>
  </w:style>
  <w:style w:type="paragraph" w:styleId="ListNumber4">
    <w:name w:val="List Number 4"/>
    <w:basedOn w:val="List4"/>
    <w:rsid w:val="00A152FB"/>
    <w:pPr>
      <w:numPr>
        <w:numId w:val="6"/>
      </w:numPr>
    </w:pPr>
  </w:style>
  <w:style w:type="paragraph" w:styleId="ListNumber5">
    <w:name w:val="List Number 5"/>
    <w:basedOn w:val="List5"/>
    <w:rsid w:val="00A152FB"/>
    <w:pPr>
      <w:numPr>
        <w:numId w:val="7"/>
      </w:numPr>
    </w:pPr>
  </w:style>
  <w:style w:type="paragraph" w:styleId="BlockText">
    <w:name w:val="Block Text"/>
    <w:basedOn w:val="Normal"/>
    <w:rsid w:val="00A152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52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52FB"/>
    <w:rPr>
      <w:sz w:val="16"/>
      <w:vertAlign w:val="superscript"/>
    </w:rPr>
  </w:style>
  <w:style w:type="character" w:customStyle="1" w:styleId="Symbols">
    <w:name w:val="Symbols"/>
    <w:basedOn w:val="DefaultParagraphFont"/>
    <w:rsid w:val="00A152FB"/>
    <w:rPr>
      <w:rFonts w:ascii="Symbol" w:hAnsi="Symbol"/>
    </w:rPr>
  </w:style>
  <w:style w:type="character" w:customStyle="1" w:styleId="MenuOptions">
    <w:name w:val="Menu Options"/>
    <w:basedOn w:val="DefaultParagraphFont"/>
    <w:rsid w:val="00A152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52FB"/>
    <w:rPr>
      <w:b/>
    </w:rPr>
  </w:style>
  <w:style w:type="character" w:customStyle="1" w:styleId="Underlined">
    <w:name w:val="Underlined"/>
    <w:basedOn w:val="DefaultParagraphFont"/>
    <w:rsid w:val="00A152FB"/>
    <w:rPr>
      <w:u w:val="single"/>
    </w:rPr>
  </w:style>
  <w:style w:type="paragraph" w:customStyle="1" w:styleId="TableBodyTextRight">
    <w:name w:val="Table Body Text Right"/>
    <w:basedOn w:val="TableBodyText"/>
    <w:rsid w:val="00A152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52FB"/>
    <w:rPr>
      <w:sz w:val="18"/>
    </w:rPr>
  </w:style>
  <w:style w:type="paragraph" w:customStyle="1" w:styleId="BodySmallRight">
    <w:name w:val="Body Small Right"/>
    <w:basedOn w:val="BodyTextRight"/>
    <w:rsid w:val="00A152FB"/>
    <w:rPr>
      <w:sz w:val="18"/>
      <w:szCs w:val="18"/>
    </w:rPr>
  </w:style>
  <w:style w:type="paragraph" w:customStyle="1" w:styleId="MarginEdition">
    <w:name w:val="Margin Edition"/>
    <w:basedOn w:val="MarginNote"/>
    <w:rsid w:val="00A152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52FB"/>
    <w:rPr>
      <w:sz w:val="2"/>
      <w:szCs w:val="2"/>
    </w:rPr>
  </w:style>
  <w:style w:type="character" w:customStyle="1" w:styleId="Small">
    <w:name w:val="Small"/>
    <w:basedOn w:val="DefaultParagraphFont"/>
    <w:rsid w:val="00A152FB"/>
    <w:rPr>
      <w:sz w:val="16"/>
    </w:rPr>
  </w:style>
  <w:style w:type="paragraph" w:customStyle="1" w:styleId="WideTable">
    <w:name w:val="Wide Table"/>
    <w:basedOn w:val="Normal"/>
    <w:rsid w:val="00A152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52FB"/>
  </w:style>
  <w:style w:type="paragraph" w:styleId="Quote">
    <w:name w:val="Quote"/>
    <w:basedOn w:val="Heading1"/>
    <w:link w:val="QuoteChar"/>
    <w:qFormat/>
    <w:rsid w:val="00A152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52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52FB"/>
    <w:pPr>
      <w:pageBreakBefore/>
    </w:pPr>
  </w:style>
  <w:style w:type="paragraph" w:customStyle="1" w:styleId="Border">
    <w:name w:val="Border"/>
    <w:basedOn w:val="Normal"/>
    <w:qFormat/>
    <w:rsid w:val="00A152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52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52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52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52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52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52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52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52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52FB"/>
    <w:rPr>
      <w:u w:val="single"/>
    </w:rPr>
  </w:style>
  <w:style w:type="character" w:customStyle="1" w:styleId="BoldandItalics">
    <w:name w:val="Bold and Italics"/>
    <w:qFormat/>
    <w:rsid w:val="00A152FB"/>
    <w:rPr>
      <w:b/>
      <w:i/>
      <w:u w:val="none"/>
    </w:rPr>
  </w:style>
  <w:style w:type="paragraph" w:styleId="BalloonText">
    <w:name w:val="Balloon Text"/>
    <w:basedOn w:val="Normal"/>
    <w:link w:val="BalloonTextChar"/>
    <w:rsid w:val="00A152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52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52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52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52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52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52FB"/>
    <w:pPr>
      <w:spacing w:before="0" w:after="0"/>
    </w:pPr>
  </w:style>
  <w:style w:type="paragraph" w:customStyle="1" w:styleId="BodyTextBold">
    <w:name w:val="Body Text Bold"/>
    <w:basedOn w:val="BodyText"/>
    <w:qFormat/>
    <w:rsid w:val="00A152FB"/>
    <w:rPr>
      <w:b/>
    </w:rPr>
  </w:style>
  <w:style w:type="character" w:styleId="Hyperlink">
    <w:name w:val="Hyperlink"/>
    <w:basedOn w:val="DefaultParagraphFont"/>
    <w:uiPriority w:val="99"/>
    <w:unhideWhenUsed/>
    <w:rsid w:val="001611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860</Words>
  <Characters>6189</Characters>
  <Application>Microsoft Office Word</Application>
  <DocSecurity>0</DocSecurity>
  <Lines>128</Lines>
  <Paragraphs>80</Paragraphs>
  <ScaleCrop>false</ScaleCrop>
  <Company>Author-it Software Corporation Ltd.</Company>
  <LinksUpToDate>false</LinksUpToDate>
  <CharactersWithSpaces>6969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UETTDRSO42 Manage power systems transmission network demand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2021-03-24T00:05:00Z</dcterms:created>
  <dcterms:modified xsi:type="dcterms:W3CDTF">2021-03-24T00:05:00Z</dcterms:modified>
</cp:coreProperties>
</file>