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0B9" w:rsidP="00E72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UETTDRSO34 Control power systems generating plant</w:t>
      </w:r>
      <w:r>
        <w:fldChar w:fldCharType="end"/>
      </w:r>
    </w:p>
    <w:p w:rsidR="00E720B9" w:rsidP="00E720B9">
      <w:pPr>
        <w:pStyle w:val="Version"/>
        <w:sectPr w:rsidSect="00745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8AE" w:rsidP="007458AE">
      <w:pPr>
        <w:pStyle w:val="SuperHeading"/>
      </w:pPr>
      <w:r w:rsidRPr="007458AE">
        <w:t>UETTDRSO34 Control power systems generating plant</w:t>
      </w:r>
    </w:p>
    <w:p w:rsidR="00000000" w:rsidRPr="007458AE" w:rsidP="007458AE">
      <w:pPr>
        <w:pStyle w:val="Heading1"/>
      </w:pPr>
      <w:bookmarkStart w:id="1" w:name="O_1004815"/>
      <w:bookmarkEnd w:id="1"/>
      <w:r w:rsidRPr="007458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2" w:name="O_1004816"/>
      <w:bookmarkEnd w:id="2"/>
      <w:r w:rsidRPr="007458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 xml:space="preserve">This unit covers the control of the generation side of a </w:t>
            </w:r>
            <w:r w:rsidRPr="007458AE">
              <w:t>generation plant. It includes the assessment, evaluation and achievement of the synchronisation requirements to ensure machine and/or system stability during synchronisation. It also includes the control of the generation of electrical energy, the coordina</w:t>
            </w:r>
            <w:r w:rsidRPr="007458AE">
              <w:t xml:space="preserve">tion of the generation control and the monitoring of the system/plant. </w:t>
            </w:r>
          </w:p>
          <w:p w:rsidR="00000000" w:rsidRPr="007458AE" w:rsidP="007458AE">
            <w:pPr>
              <w:pStyle w:val="BodyText"/>
            </w:pPr>
            <w:r w:rsidRPr="007458AE">
              <w:t>It also encompasses the analysis of the system/plant faults, the updating of the relevant documentation and the reporting of plant problems, movements, abnormalities and status in acco</w:t>
            </w:r>
            <w:r w:rsidRPr="007458AE">
              <w:t>rdance with enterprise/site procedures.</w:t>
            </w:r>
          </w:p>
          <w:p w:rsidR="00000000" w:rsidRPr="007458AE" w:rsidP="007458AE">
            <w:pPr>
              <w:pStyle w:val="BodyText"/>
            </w:pPr>
            <w:r w:rsidRPr="007458AE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7458AE" w:rsidP="007458AE">
            <w:pPr>
              <w:pStyle w:val="BodyText"/>
            </w:pPr>
            <w:r w:rsidRPr="007458AE">
              <w:t>Other conditions may app</w:t>
            </w:r>
            <w:r w:rsidRPr="007458AE">
              <w:t xml:space="preserve">ly under state and territory legislative and regulatory licencing requirements which must be confirmed prior to commencing this unit. </w:t>
            </w:r>
          </w:p>
        </w:tc>
      </w:tr>
    </w:tbl>
    <w:p w:rsidR="00E720B9" w:rsidP="007458AE">
      <w:pPr>
        <w:pStyle w:val="NoPaddingFontSize1"/>
      </w:pPr>
    </w:p>
    <w:p w:rsidR="00E720B9" w:rsidP="007458AE">
      <w:pPr>
        <w:pStyle w:val="NoPaddingFontSize1"/>
      </w:pPr>
    </w:p>
    <w:p w:rsidR="00000000" w:rsidRPr="007458AE" w:rsidP="007458AE">
      <w:pPr>
        <w:pStyle w:val="Heading1"/>
      </w:pPr>
      <w:bookmarkStart w:id="3" w:name="O_1004817"/>
      <w:bookmarkEnd w:id="3"/>
      <w:r w:rsidRPr="007458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All competencies in the Common Unit Group must have been completed, plus all com</w:t>
            </w:r>
            <w:r w:rsidRPr="007458AE">
              <w:t xml:space="preserve">petencies in one (1) of the identified Pathway Unit Group(s). </w:t>
            </w:r>
          </w:p>
          <w:p w:rsidR="00000000" w:rsidRPr="007458AE" w:rsidP="007458AE">
            <w:pPr>
              <w:pStyle w:val="BodyText"/>
            </w:pPr>
            <w:r w:rsidRPr="007458AE">
              <w:t>Common Unit Group</w:t>
            </w:r>
          </w:p>
          <w:p w:rsidR="00000000" w:rsidRPr="007458AE" w:rsidP="007458AE">
            <w:pPr>
              <w:pStyle w:val="BodyText"/>
            </w:pPr>
            <w:r w:rsidRPr="007458AE">
              <w:t>UEENEED104A Use engineering applications software on personal computers</w:t>
            </w:r>
          </w:p>
          <w:p w:rsidR="00000000" w:rsidRPr="007458AE" w:rsidP="007458AE">
            <w:pPr>
              <w:pStyle w:val="BodyText"/>
            </w:pPr>
            <w:r w:rsidRPr="007458AE">
              <w:t>UEENEEE101A Apply Occupational Health and Safety regulations, codes and practices in the workplace</w:t>
            </w:r>
          </w:p>
          <w:p w:rsidR="00000000" w:rsidRPr="007458AE" w:rsidP="007458AE">
            <w:pPr>
              <w:pStyle w:val="BodyText"/>
            </w:pPr>
            <w:r w:rsidRPr="007458AE">
              <w:t>UEEN</w:t>
            </w:r>
            <w:r w:rsidRPr="007458AE">
              <w:t>EEE102A Fabricate, assemble and dismantle utilities industry components</w:t>
            </w:r>
          </w:p>
          <w:p w:rsidR="00000000" w:rsidRPr="007458AE" w:rsidP="007458AE">
            <w:pPr>
              <w:pStyle w:val="BodyText"/>
            </w:pPr>
            <w:r w:rsidRPr="007458AE">
              <w:t>UEENEEE104A Solve problems in d.c. circuits</w:t>
            </w:r>
          </w:p>
          <w:p w:rsidR="00000000" w:rsidRPr="007458AE" w:rsidP="007458AE">
            <w:pPr>
              <w:pStyle w:val="BodyText"/>
            </w:pPr>
            <w:r w:rsidRPr="007458AE">
              <w:t>UEENEEE107A Use drawings, diagrams, schedules, standards, codes and specifications</w:t>
            </w:r>
          </w:p>
          <w:p w:rsidR="00000000" w:rsidRPr="007458AE" w:rsidP="007458AE">
            <w:pPr>
              <w:pStyle w:val="BodyText"/>
            </w:pPr>
            <w:r w:rsidRPr="007458AE">
              <w:t>UEENEEE124A Compile and produce an energy sector detailed report</w:t>
            </w:r>
          </w:p>
          <w:p w:rsidR="00000000" w:rsidRPr="007458AE" w:rsidP="007458AE">
            <w:pPr>
              <w:pStyle w:val="BodyText"/>
            </w:pPr>
            <w:r w:rsidRPr="007458AE">
              <w:t>UEENEEE125A Provide engineering solutions for problems in complex multiple path circuits</w:t>
            </w:r>
          </w:p>
          <w:p w:rsidR="00000000" w:rsidRPr="007458AE" w:rsidP="007458AE">
            <w:pPr>
              <w:pStyle w:val="BodyText"/>
            </w:pPr>
            <w:r w:rsidRPr="007458AE">
              <w:t>UEENEEE126A Provide solutions to basic engineering computational problems</w:t>
            </w:r>
          </w:p>
          <w:p w:rsidR="00000000" w:rsidRPr="007458AE" w:rsidP="007458AE">
            <w:pPr>
              <w:pStyle w:val="BodyText"/>
            </w:pPr>
            <w:r w:rsidRPr="007458AE">
              <w:t>UEENEEG101A Solve problems i</w:t>
            </w:r>
            <w:r w:rsidRPr="007458AE">
              <w:t>n electromagnetic devices and related circuits</w:t>
            </w:r>
          </w:p>
          <w:p w:rsidR="00000000" w:rsidRPr="007458AE" w:rsidP="007458AE">
            <w:pPr>
              <w:pStyle w:val="BodyText"/>
            </w:pPr>
            <w:r w:rsidRPr="007458AE">
              <w:t>UEENEEG102A Solve problems in low voltage a.c. circuits</w:t>
            </w:r>
          </w:p>
          <w:p w:rsidR="00000000" w:rsidRPr="007458AE" w:rsidP="007458AE">
            <w:pPr>
              <w:pStyle w:val="BodyText"/>
            </w:pPr>
            <w:r w:rsidRPr="007458AE">
              <w:t>UEENEEG149A Provide engineering solutions to problems in complex polyphase power circuits</w:t>
            </w:r>
          </w:p>
          <w:p w:rsidR="00000000" w:rsidRPr="007458AE" w:rsidP="007458AE">
            <w:pPr>
              <w:pStyle w:val="BodyText"/>
            </w:pPr>
            <w:r w:rsidRPr="007458AE">
              <w:t>UETTDREL11 Apply sustainable energy and environmental procedure</w:t>
            </w:r>
            <w:r w:rsidRPr="007458AE">
              <w:t>s</w:t>
            </w:r>
          </w:p>
          <w:p w:rsidR="00000000" w:rsidRPr="007458AE" w:rsidP="007458AE">
            <w:pPr>
              <w:pStyle w:val="BodyText"/>
            </w:pPr>
            <w:r w:rsidRPr="007458AE">
              <w:t>UETTDREL16 Working safely near live electrical apparatus</w:t>
            </w:r>
          </w:p>
          <w:p w:rsidR="00000000" w:rsidRPr="007458AE" w:rsidP="007458AE">
            <w:pPr>
              <w:pStyle w:val="BodyText"/>
            </w:pPr>
            <w:r w:rsidRPr="007458AE">
              <w:t>UETTDRIS62 Implement and monitor the power system organisational WHS/OHS policies, procedures and programs</w:t>
            </w:r>
          </w:p>
          <w:p w:rsidR="00000000" w:rsidRPr="007458AE" w:rsidP="007458AE">
            <w:pPr>
              <w:pStyle w:val="BodyText"/>
            </w:pPr>
            <w:r w:rsidRPr="007458AE">
              <w:t xml:space="preserve">UETTDRIS63 Implement &amp; monitor power system environmental &amp; sustainable energy management </w:t>
            </w:r>
            <w:r w:rsidRPr="007458AE">
              <w:t>policies &amp; procedures</w:t>
            </w:r>
          </w:p>
          <w:p w:rsidR="00000000" w:rsidRPr="007458AE" w:rsidP="007458AE">
            <w:pPr>
              <w:pStyle w:val="BodyText"/>
            </w:pPr>
            <w:r w:rsidRPr="007458AE">
              <w:t>UETTDRSO48 Respond to discrete and interdependent protection operations</w:t>
            </w:r>
          </w:p>
          <w:p w:rsidR="00000000" w:rsidRPr="007458AE" w:rsidP="007458AE">
            <w:pPr>
              <w:pStyle w:val="BodyText"/>
            </w:pPr>
            <w:r w:rsidRPr="007458AE">
              <w:t>UETTDRSO49 Coordinate power system operations in a regulated energy market</w:t>
            </w:r>
          </w:p>
          <w:p w:rsidR="00000000" w:rsidRPr="007458AE" w:rsidP="007458AE">
            <w:pPr>
              <w:pStyle w:val="BodyText"/>
            </w:pPr>
            <w:r w:rsidRPr="007458AE">
              <w:t>Distribution and Sub-transmission Pathway Unit Group</w:t>
            </w:r>
          </w:p>
          <w:p w:rsidR="00000000" w:rsidRPr="007458AE" w:rsidP="007458AE">
            <w:pPr>
              <w:pStyle w:val="BodyText"/>
            </w:pPr>
            <w:r w:rsidRPr="007458AE">
              <w:t>UETTDRSO37 Develop high voltage di</w:t>
            </w:r>
            <w:r w:rsidRPr="007458AE">
              <w:t>stribution and sub-transmission switching programs</w:t>
            </w:r>
          </w:p>
          <w:p w:rsidR="00000000" w:rsidRPr="007458AE" w:rsidP="007458AE">
            <w:pPr>
              <w:pStyle w:val="BodyText"/>
            </w:pPr>
            <w:r w:rsidRPr="007458AE">
              <w:t>UETTDRSO40 Coordinate high voltage distribution and sub-transmission networks</w:t>
            </w:r>
          </w:p>
          <w:p w:rsidR="00000000" w:rsidRPr="007458AE" w:rsidP="007458AE">
            <w:pPr>
              <w:pStyle w:val="BodyText"/>
            </w:pPr>
            <w:r w:rsidRPr="007458AE">
              <w:t>Transmission Pathway Unit Group</w:t>
            </w:r>
          </w:p>
          <w:p w:rsidR="00000000" w:rsidRPr="007458AE" w:rsidP="007458AE">
            <w:pPr>
              <w:pStyle w:val="BodyText"/>
            </w:pPr>
            <w:r w:rsidRPr="007458AE">
              <w:t>UETTDRSO38 Develop and evaluate power systems transmission switching programs</w:t>
            </w:r>
          </w:p>
          <w:p w:rsidR="00000000" w:rsidRPr="007458AE" w:rsidP="007458AE">
            <w:pPr>
              <w:pStyle w:val="BodyText"/>
            </w:pPr>
            <w:r w:rsidRPr="007458AE">
              <w:t>UETTDRSO47 Coordi</w:t>
            </w:r>
            <w:r w:rsidRPr="007458AE">
              <w:t>nate high voltage transmission network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4" w:name="O_1004818"/>
      <w:bookmarkEnd w:id="4"/>
      <w:r w:rsidRPr="007458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System Operations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5" w:name="O_1004819"/>
      <w:bookmarkEnd w:id="5"/>
      <w:r w:rsidRPr="007458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Not applicable.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6" w:name="O_1004820"/>
      <w:bookmarkEnd w:id="6"/>
      <w:r w:rsidRPr="007458A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PERFORMANCE CRITERIA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Performance criteria describe the performance needed to demonstrate achievement of the element.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rPr>
                <w:rStyle w:val="SpecialBold"/>
              </w:rPr>
              <w:t>Plan for the control of a generation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Work health and safety (WHS)/occupational health and safety (OHS) practices/procedures and environmental and sustainable energy procedures, which may influence the control of the generating plant, are reviewed and determined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Purpose of the control i</w:t>
            </w:r>
            <w:r w:rsidRPr="007458AE">
              <w:t xml:space="preserve">s established after data is analysed and expected outcomes of the work are </w:t>
            </w:r>
            <w:r w:rsidRPr="007458AE">
              <w:t>confirmed with appropriate personnel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Organisational established procedures on policies and specifications for the control of the generating plant are obtained or established with appropriate personnel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 xml:space="preserve">Testing procedures are discussed with/directed to the appropriate personnel in order </w:t>
            </w:r>
            <w:r w:rsidRPr="007458AE">
              <w:t>to ascertain the project brief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Testing parameters are established from organisational established procedures on policies and specifications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Equipment/tools and personal protective equipment (PPE) are selected based on specified performance cr</w:t>
            </w:r>
            <w:r w:rsidRPr="007458AE">
              <w:t>iteria and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Work roles and tasks are allocated according to requirements and individual competencies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Liaison and communication issues with others/authorised personn</w:t>
            </w:r>
            <w:r w:rsidRPr="007458AE">
              <w:t>el, authorities, clients and land owners are resolved and activities coordinated to carry out work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Risk control measures are identified, prioritised and evaluated against the work schedule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Relevant work permits are secured to coordinate the</w:t>
            </w:r>
            <w:r w:rsidRPr="007458AE">
              <w:t xml:space="preserve"> performance of work according to requirements and/or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rPr>
                <w:rStyle w:val="SpecialBold"/>
              </w:rPr>
              <w:t>Carry out the control of a generation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Circuit/systems modelling is used to evaluate alternative proposals in accordance with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 xml:space="preserve">Decisions for the control </w:t>
            </w:r>
            <w:r w:rsidRPr="007458AE">
              <w:t>of the generating plant are made on the basis of safety and effective outcomes according to requirements and/or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Mathematical and/or engineering models of the control procedures are used to analyse the effectiveness of the fini</w:t>
            </w:r>
            <w:r w:rsidRPr="007458AE">
              <w:t>shed project in accordance with requirements and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 xml:space="preserve">Technical advice is given regarding potential hazards, safety risks and control measures so that monitoring and preventative action can be </w:t>
            </w:r>
            <w:r w:rsidRPr="007458AE">
              <w:t>undertaken and/or appropriate authorities consulted, where necessary, in accordance with requirements and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Essential knowledge and associated skills are applied to analyse specific data and compare it with compliance specificat</w:t>
            </w:r>
            <w:r w:rsidRPr="007458AE">
              <w:t>ions to ensure completion of the project within an agreed timeframe according to requirements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Testing of control procedures is undertaken according to requirements and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Work teams/groups are arranged/coordinated/evaluate</w:t>
            </w:r>
            <w:r w:rsidRPr="007458AE">
              <w:t>d to ensure planned goals are met according to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Solutions to non-routine problems are identified and actioned using acquired essential knowledge and associated skills according to requirements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Quality of work is monitored against personal performance agreement and/or established organisational and professional standards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Strategic plans are developed incorporating organisation initiatives in accordance with established procedures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rPr>
                <w:rStyle w:val="SpecialBold"/>
              </w:rPr>
              <w:t>Compl</w:t>
            </w:r>
            <w:r w:rsidRPr="007458AE">
              <w:rPr>
                <w:rStyle w:val="SpecialBold"/>
              </w:rPr>
              <w:t>ete the control of a generation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Final review of the control procedures of the generating plant are undertaken to ensure they comply with all requirements and include all specifications and documentations needed to complete the project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Appr</w:t>
            </w:r>
            <w:r w:rsidRPr="007458AE">
              <w:t>opriate personnel are notified of completion and reports and/or completion documents are finalised/commissioned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t>Reports and/or completion documents are submitted to relevant personnel/organisations for approval and, where applicable</w:t>
            </w:r>
            <w:r w:rsidRPr="007458AE">
              <w:t>, statutory or regulatory approval</w:t>
            </w:r>
          </w:p>
        </w:tc>
      </w:tr>
      <w:tr w:rsidTr="007458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AE">
            <w:pPr>
              <w:pStyle w:val="BodyText"/>
              <w:rPr>
                <w:lang w:val="en-NZ"/>
              </w:rPr>
            </w:pPr>
            <w:r w:rsidRPr="007458A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Approved copies of the documents are issued and records are updated in accordance with established procedures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7" w:name="O_1004821"/>
      <w:bookmarkEnd w:id="7"/>
      <w:r w:rsidRPr="007458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Foundation skills essential to performance are explicit in the pe</w:t>
            </w:r>
            <w:r w:rsidRPr="007458AE">
              <w:t>rformance criteria of this unit of competency.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8" w:name="O_1004822"/>
      <w:bookmarkEnd w:id="8"/>
      <w:r w:rsidRPr="007458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Range is restricted to essential operating conditions and any other variables essential to the work environment.</w:t>
            </w:r>
          </w:p>
          <w:p w:rsidR="00000000" w:rsidRPr="007458AE" w:rsidP="007458AE">
            <w:pPr>
              <w:pStyle w:val="BodyText"/>
            </w:pPr>
            <w:r w:rsidRPr="007458AE">
              <w:t>Non-essential conditions may be found in the Companion Volume Implementation Guide.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9" w:name="O_1004823"/>
      <w:bookmarkEnd w:id="9"/>
      <w:r w:rsidRPr="007458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AE" w:rsidP="007458AE">
            <w:pPr>
              <w:pStyle w:val="BodyText"/>
            </w:pPr>
            <w:r w:rsidRPr="007458AE">
              <w:t>This unit replaces and is equivalent to UETTDRSO34A Control power systems generating plant.</w:t>
            </w:r>
          </w:p>
        </w:tc>
      </w:tr>
    </w:tbl>
    <w:p w:rsidR="00000000" w:rsidRPr="007458AE" w:rsidP="007458AE">
      <w:pPr>
        <w:pStyle w:val="NoPaddingFontSize1"/>
      </w:pPr>
    </w:p>
    <w:p w:rsidR="00000000" w:rsidRPr="007458AE" w:rsidP="007458AE">
      <w:pPr>
        <w:pStyle w:val="AllowPageBreak"/>
      </w:pPr>
    </w:p>
    <w:p w:rsidR="00000000" w:rsidRPr="007458AE" w:rsidP="007458AE">
      <w:pPr>
        <w:pStyle w:val="Heading1"/>
      </w:pPr>
      <w:bookmarkStart w:id="10" w:name="O_1004830"/>
      <w:bookmarkEnd w:id="10"/>
      <w:r w:rsidRPr="007458AE">
        <w:t>Links</w:t>
      </w:r>
    </w:p>
    <w:p w:rsidR="00000000" w:rsidRPr="007458AE" w:rsidP="00E720B9">
      <w:pPr>
        <w:pStyle w:val="BodyText"/>
      </w:pPr>
      <w:r w:rsidRPr="007458AE">
        <w:t>UET Tra</w:t>
      </w:r>
      <w:r w:rsidRPr="007458AE">
        <w:t xml:space="preserve">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81F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458AE" w:rsidP="007458AE"/>
    <w:sectPr w:rsidSect="007458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AE" w:rsidRPr="00E720B9" w:rsidP="00E72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B9" w:rsidP="00745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0B9" w:rsidP="00745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20B9" w:rsidP="00745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8AE" w:rsidRPr="00E720B9" w:rsidP="00E72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B9" w:rsidRPr="002D2AF8" w:rsidP="00745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UETTDRSO34 Control power systems generating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E720B9" w:rsidP="00745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8AE"/>
  </w:style>
  <w:style w:type="character" w:customStyle="1" w:styleId="Heading1Char">
    <w:name w:val="Heading 1 Char"/>
    <w:basedOn w:val="DefaultParagraphFont"/>
    <w:link w:val="Heading1"/>
    <w:rsid w:val="00745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8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58AE"/>
    <w:rPr>
      <w:b/>
      <w:spacing w:val="0"/>
    </w:rPr>
  </w:style>
  <w:style w:type="paragraph" w:customStyle="1" w:styleId="SuperHeading">
    <w:name w:val="SuperHeading"/>
    <w:basedOn w:val="Normal"/>
    <w:rsid w:val="00745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5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8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58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5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8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8AE"/>
    <w:rPr>
      <w:i/>
    </w:rPr>
  </w:style>
  <w:style w:type="paragraph" w:styleId="Caption">
    <w:name w:val="caption"/>
    <w:basedOn w:val="BodyText"/>
    <w:next w:val="Normal"/>
    <w:qFormat/>
    <w:rsid w:val="00745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8AE"/>
  </w:style>
  <w:style w:type="paragraph" w:styleId="TableofFigures">
    <w:name w:val="table of figures"/>
    <w:basedOn w:val="Normal"/>
    <w:next w:val="Normal"/>
    <w:semiHidden/>
    <w:rsid w:val="00745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8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58AE"/>
    <w:rPr>
      <w:rFonts w:ascii="Wingdings" w:hAnsi="Wingdings"/>
    </w:rPr>
  </w:style>
  <w:style w:type="paragraph" w:customStyle="1" w:styleId="TableHeading">
    <w:name w:val="Table Heading"/>
    <w:basedOn w:val="HeadingBase"/>
    <w:rsid w:val="00745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8AE"/>
    <w:rPr>
      <w:color w:val="0033CC"/>
      <w:u w:val="none"/>
    </w:rPr>
  </w:style>
  <w:style w:type="paragraph" w:customStyle="1" w:styleId="BodyTextRight">
    <w:name w:val="Body Text Right"/>
    <w:basedOn w:val="BodyText"/>
    <w:rsid w:val="00745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8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8AE"/>
    <w:rPr>
      <w:sz w:val="32"/>
    </w:rPr>
  </w:style>
  <w:style w:type="paragraph" w:customStyle="1" w:styleId="HeadingProcedure">
    <w:name w:val="Heading Procedure"/>
    <w:basedOn w:val="HeadingBase"/>
    <w:next w:val="Normal"/>
    <w:rsid w:val="00745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8AE"/>
    <w:pPr>
      <w:spacing w:before="60" w:after="60"/>
    </w:pPr>
  </w:style>
  <w:style w:type="paragraph" w:styleId="ListContinue">
    <w:name w:val="List Continue"/>
    <w:basedOn w:val="List"/>
    <w:rsid w:val="007458AE"/>
    <w:pPr>
      <w:ind w:firstLine="0"/>
    </w:pPr>
  </w:style>
  <w:style w:type="paragraph" w:customStyle="1" w:styleId="ListNote">
    <w:name w:val="List Note"/>
    <w:basedOn w:val="List"/>
    <w:rsid w:val="00745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8AE"/>
    <w:rPr>
      <w:rFonts w:ascii="Courier New" w:hAnsi="Courier New"/>
    </w:rPr>
  </w:style>
  <w:style w:type="paragraph" w:customStyle="1" w:styleId="NoteBullet">
    <w:name w:val="Note Bullet"/>
    <w:basedOn w:val="Note"/>
    <w:rsid w:val="00745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8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5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8AE"/>
    <w:rPr>
      <w:b/>
      <w:smallCaps/>
    </w:rPr>
  </w:style>
  <w:style w:type="paragraph" w:customStyle="1" w:styleId="TableListNumber">
    <w:name w:val="Table List Number"/>
    <w:basedOn w:val="ListNumber"/>
    <w:rsid w:val="00745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8AE"/>
    <w:pPr>
      <w:numPr>
        <w:numId w:val="7"/>
      </w:numPr>
    </w:pPr>
  </w:style>
  <w:style w:type="paragraph" w:customStyle="1" w:styleId="ListAlpha2">
    <w:name w:val="List Alpha 2"/>
    <w:basedOn w:val="List2"/>
    <w:rsid w:val="007458AE"/>
    <w:pPr>
      <w:numPr>
        <w:numId w:val="6"/>
      </w:numPr>
    </w:pPr>
  </w:style>
  <w:style w:type="paragraph" w:styleId="List2">
    <w:name w:val="List 2"/>
    <w:basedOn w:val="BodyText"/>
    <w:rsid w:val="00745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8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8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58AE"/>
    <w:pPr>
      <w:numPr>
        <w:numId w:val="2"/>
      </w:numPr>
    </w:pPr>
  </w:style>
  <w:style w:type="paragraph" w:styleId="ListContinue2">
    <w:name w:val="List Continue 2"/>
    <w:basedOn w:val="List2"/>
    <w:rsid w:val="007458AE"/>
    <w:pPr>
      <w:ind w:firstLine="0"/>
    </w:pPr>
  </w:style>
  <w:style w:type="paragraph" w:styleId="ListContinue3">
    <w:name w:val="List Continue 3"/>
    <w:basedOn w:val="List3"/>
    <w:rsid w:val="007458AE"/>
    <w:pPr>
      <w:ind w:left="1021" w:firstLine="0"/>
    </w:pPr>
  </w:style>
  <w:style w:type="paragraph" w:styleId="ListContinue4">
    <w:name w:val="List Continue 4"/>
    <w:basedOn w:val="List4"/>
    <w:rsid w:val="007458AE"/>
    <w:pPr>
      <w:ind w:firstLine="0"/>
    </w:pPr>
  </w:style>
  <w:style w:type="paragraph" w:styleId="ListContinue5">
    <w:name w:val="List Continue 5"/>
    <w:basedOn w:val="List5"/>
    <w:rsid w:val="007458AE"/>
    <w:pPr>
      <w:ind w:firstLine="0"/>
    </w:pPr>
  </w:style>
  <w:style w:type="paragraph" w:styleId="ListNumber3">
    <w:name w:val="List Number 3"/>
    <w:basedOn w:val="List3"/>
    <w:rsid w:val="007458AE"/>
    <w:pPr>
      <w:numPr>
        <w:numId w:val="3"/>
      </w:numPr>
    </w:pPr>
  </w:style>
  <w:style w:type="paragraph" w:styleId="ListNumber4">
    <w:name w:val="List Number 4"/>
    <w:basedOn w:val="List4"/>
    <w:rsid w:val="007458AE"/>
    <w:pPr>
      <w:numPr>
        <w:numId w:val="4"/>
      </w:numPr>
    </w:pPr>
  </w:style>
  <w:style w:type="paragraph" w:styleId="ListNumber5">
    <w:name w:val="List Number 5"/>
    <w:basedOn w:val="List5"/>
    <w:rsid w:val="007458AE"/>
    <w:pPr>
      <w:numPr>
        <w:numId w:val="5"/>
      </w:numPr>
    </w:pPr>
  </w:style>
  <w:style w:type="paragraph" w:styleId="BlockText">
    <w:name w:val="Block Text"/>
    <w:basedOn w:val="Normal"/>
    <w:rsid w:val="00745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8AE"/>
    <w:rPr>
      <w:sz w:val="16"/>
      <w:vertAlign w:val="superscript"/>
    </w:rPr>
  </w:style>
  <w:style w:type="character" w:customStyle="1" w:styleId="Symbols">
    <w:name w:val="Symbols"/>
    <w:basedOn w:val="DefaultParagraphFont"/>
    <w:rsid w:val="007458AE"/>
    <w:rPr>
      <w:rFonts w:ascii="Symbol" w:hAnsi="Symbol"/>
    </w:rPr>
  </w:style>
  <w:style w:type="character" w:customStyle="1" w:styleId="MenuOptions">
    <w:name w:val="Menu Options"/>
    <w:basedOn w:val="DefaultParagraphFont"/>
    <w:rsid w:val="00745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8AE"/>
    <w:rPr>
      <w:b/>
    </w:rPr>
  </w:style>
  <w:style w:type="character" w:customStyle="1" w:styleId="Underlined">
    <w:name w:val="Underlined"/>
    <w:basedOn w:val="DefaultParagraphFont"/>
    <w:rsid w:val="007458AE"/>
    <w:rPr>
      <w:u w:val="single"/>
    </w:rPr>
  </w:style>
  <w:style w:type="paragraph" w:customStyle="1" w:styleId="TableBodyTextRight">
    <w:name w:val="Table Body Text Right"/>
    <w:basedOn w:val="TableBodyText"/>
    <w:rsid w:val="00745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8AE"/>
    <w:rPr>
      <w:sz w:val="18"/>
    </w:rPr>
  </w:style>
  <w:style w:type="paragraph" w:customStyle="1" w:styleId="BodySmallRight">
    <w:name w:val="Body Small Right"/>
    <w:basedOn w:val="BodyTextRight"/>
    <w:rsid w:val="007458AE"/>
    <w:rPr>
      <w:sz w:val="18"/>
      <w:szCs w:val="18"/>
    </w:rPr>
  </w:style>
  <w:style w:type="paragraph" w:customStyle="1" w:styleId="MarginEdition">
    <w:name w:val="Margin Edition"/>
    <w:basedOn w:val="MarginNote"/>
    <w:rsid w:val="00745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8AE"/>
    <w:rPr>
      <w:sz w:val="2"/>
      <w:szCs w:val="2"/>
    </w:rPr>
  </w:style>
  <w:style w:type="character" w:customStyle="1" w:styleId="Small">
    <w:name w:val="Small"/>
    <w:basedOn w:val="DefaultParagraphFont"/>
    <w:rsid w:val="007458AE"/>
    <w:rPr>
      <w:sz w:val="16"/>
    </w:rPr>
  </w:style>
  <w:style w:type="paragraph" w:customStyle="1" w:styleId="WideTable">
    <w:name w:val="Wide Table"/>
    <w:basedOn w:val="Normal"/>
    <w:rsid w:val="00745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8AE"/>
  </w:style>
  <w:style w:type="paragraph" w:styleId="Quote">
    <w:name w:val="Quote"/>
    <w:basedOn w:val="Heading1"/>
    <w:link w:val="QuoteChar"/>
    <w:qFormat/>
    <w:rsid w:val="00745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8AE"/>
    <w:pPr>
      <w:pageBreakBefore/>
    </w:pPr>
  </w:style>
  <w:style w:type="paragraph" w:customStyle="1" w:styleId="Border">
    <w:name w:val="Border"/>
    <w:basedOn w:val="Normal"/>
    <w:qFormat/>
    <w:rsid w:val="00745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8AE"/>
    <w:rPr>
      <w:u w:val="single"/>
    </w:rPr>
  </w:style>
  <w:style w:type="character" w:customStyle="1" w:styleId="BoldandItalics">
    <w:name w:val="Bold and Italics"/>
    <w:qFormat/>
    <w:rsid w:val="007458AE"/>
    <w:rPr>
      <w:b/>
      <w:i/>
      <w:u w:val="none"/>
    </w:rPr>
  </w:style>
  <w:style w:type="paragraph" w:styleId="BalloonText">
    <w:name w:val="Balloon Text"/>
    <w:basedOn w:val="Normal"/>
    <w:link w:val="BalloonTextChar"/>
    <w:rsid w:val="00745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8AE"/>
    <w:pPr>
      <w:spacing w:before="0" w:after="0"/>
    </w:pPr>
  </w:style>
  <w:style w:type="paragraph" w:customStyle="1" w:styleId="BodyTextBold">
    <w:name w:val="Body Text Bold"/>
    <w:basedOn w:val="BodyText"/>
    <w:qFormat/>
    <w:rsid w:val="007458AE"/>
    <w:rPr>
      <w:b/>
    </w:rPr>
  </w:style>
  <w:style w:type="character" w:styleId="Hyperlink">
    <w:name w:val="Hyperlink"/>
    <w:basedOn w:val="DefaultParagraphFont"/>
    <w:uiPriority w:val="99"/>
    <w:unhideWhenUsed/>
    <w:rsid w:val="00E72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7312</Characters>
  <Application>Microsoft Office Word</Application>
  <DocSecurity>0</DocSecurity>
  <Lines>270</Lines>
  <Paragraphs>131</Paragraphs>
  <ScaleCrop>false</ScaleCrop>
  <Company>Author-it Software Corporation Ltd.</Company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UETTDRSO34 Control power systems generating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2021-03-24T00:17:00Z</dcterms:created>
  <dcterms:modified xsi:type="dcterms:W3CDTF">2021-03-24T00:17:00Z</dcterms:modified>
</cp:coreProperties>
</file>