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0FCA" w:rsidP="00CE0FCA">
      <w:pPr>
        <w:pStyle w:val="Title"/>
      </w:pPr>
      <w:r>
        <w:fldChar w:fldCharType="begin"/>
      </w:r>
      <w:r>
        <w:instrText xml:space="preserve"> TITLE   \* MERGEFORMAT </w:instrText>
      </w:r>
      <w:r>
        <w:fldChar w:fldCharType="separate"/>
      </w:r>
      <w:r>
        <w:t>UETTDRSO34 Control power systems generating plant</w:t>
      </w:r>
      <w:r>
        <w:fldChar w:fldCharType="end"/>
      </w:r>
    </w:p>
    <w:p w:rsidR="00CE0FCA" w:rsidP="00CE0FCA">
      <w:pPr>
        <w:pStyle w:val="Version"/>
        <w:sectPr w:rsidSect="00132A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2A45" w:rsidP="00132A45">
      <w:pPr>
        <w:pStyle w:val="SuperHeading"/>
      </w:pPr>
      <w:r w:rsidRPr="00132A45">
        <w:t>UETTDRSO34 Control power systems generating plant</w:t>
      </w:r>
    </w:p>
    <w:p w:rsidR="00000000" w:rsidRPr="00132A45" w:rsidP="00132A45">
      <w:pPr>
        <w:pStyle w:val="Heading1"/>
      </w:pPr>
      <w:bookmarkStart w:id="1" w:name="O_1004815"/>
      <w:bookmarkEnd w:id="1"/>
      <w:r w:rsidRPr="00132A45">
        <w:t>Modification History</w:t>
      </w:r>
    </w:p>
    <w:tbl>
      <w:tblPr>
        <w:tblW w:w="9497" w:type="dxa"/>
        <w:tblLayout w:type="fixed"/>
        <w:tblCellMar>
          <w:left w:w="62" w:type="dxa"/>
          <w:right w:w="62" w:type="dxa"/>
        </w:tblCellMar>
        <w:tblLook w:val="0000"/>
      </w:tblPr>
      <w:tblGrid>
        <w:gridCol w:w="9497"/>
      </w:tblGrid>
      <w:tr w:rsidTr="00132A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2A45" w:rsidP="00132A45">
            <w:pPr>
              <w:pStyle w:val="BodyText"/>
            </w:pPr>
            <w:r w:rsidRPr="00132A45">
              <w:t>Release 1. This is the first release of this unit of competency in the UET Transmission, Distribution and Rail Sector Training Package.</w:t>
            </w:r>
          </w:p>
        </w:tc>
      </w:tr>
    </w:tbl>
    <w:p w:rsidR="00000000" w:rsidRPr="00132A45" w:rsidP="00132A45">
      <w:pPr>
        <w:pStyle w:val="NoPaddingFontSize1"/>
      </w:pPr>
    </w:p>
    <w:p w:rsidR="00000000" w:rsidRPr="00132A45" w:rsidP="00132A45">
      <w:pPr>
        <w:pStyle w:val="AllowPageBreak"/>
      </w:pPr>
    </w:p>
    <w:p w:rsidR="00000000" w:rsidRPr="00132A45" w:rsidP="00132A45">
      <w:pPr>
        <w:pStyle w:val="Heading1"/>
      </w:pPr>
      <w:bookmarkStart w:id="2" w:name="O_1004816"/>
      <w:bookmarkEnd w:id="2"/>
      <w:r w:rsidRPr="00132A45">
        <w:t>Application</w:t>
      </w:r>
    </w:p>
    <w:tbl>
      <w:tblPr>
        <w:tblW w:w="9497" w:type="dxa"/>
        <w:tblLayout w:type="fixed"/>
        <w:tblCellMar>
          <w:left w:w="62" w:type="dxa"/>
          <w:right w:w="62" w:type="dxa"/>
        </w:tblCellMar>
        <w:tblLook w:val="0000"/>
      </w:tblPr>
      <w:tblGrid>
        <w:gridCol w:w="9497"/>
      </w:tblGrid>
      <w:tr w:rsidTr="00132A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2A45" w:rsidP="00132A45">
            <w:pPr>
              <w:pStyle w:val="BodyText"/>
            </w:pPr>
            <w:r w:rsidRPr="00132A45">
              <w:t xml:space="preserve">This unit covers the control of the generation side of a </w:t>
            </w:r>
            <w:r w:rsidRPr="00132A45">
              <w:t>generation plant. It includes the assessment, evaluation and achievement of the synchronisation requirements to ensure machine and/or system stability during synchronisation. It also includes the control of the generation of electrical energy, the coordina</w:t>
            </w:r>
            <w:r w:rsidRPr="00132A45">
              <w:t xml:space="preserve">tion of the generation control and the monitoring of the system/plant. </w:t>
            </w:r>
          </w:p>
          <w:p w:rsidR="00000000" w:rsidRPr="00132A45" w:rsidP="00132A45">
            <w:pPr>
              <w:pStyle w:val="BodyText"/>
            </w:pPr>
            <w:r w:rsidRPr="00132A45">
              <w:t>It also encompasses the analysis of the system/plant faults, the updating of the relevant documentation and the reporting of plant problems, movements, abnormalities and status in acco</w:t>
            </w:r>
            <w:r w:rsidRPr="00132A45">
              <w:t>rdance with enterprise/site procedures.</w:t>
            </w:r>
          </w:p>
          <w:p w:rsidR="00000000" w:rsidRPr="00132A45" w:rsidP="00132A45">
            <w:pPr>
              <w:pStyle w:val="BodyText"/>
            </w:pPr>
            <w:r w:rsidRPr="00132A45">
              <w:t xml:space="preserve">The application of the skills and knowledge described in this unit may require a licence/registration to practice in the workplace subject to regulations for undertaking of electrical work.  </w:t>
            </w:r>
          </w:p>
          <w:p w:rsidR="00000000" w:rsidRPr="00132A45" w:rsidP="00132A45">
            <w:pPr>
              <w:pStyle w:val="BodyText"/>
            </w:pPr>
            <w:r w:rsidRPr="00132A45">
              <w:t>Other conditions may app</w:t>
            </w:r>
            <w:r w:rsidRPr="00132A45">
              <w:t xml:space="preserve">ly under state and territory legislative and regulatory licencing requirements which must be confirmed prior to commencing this unit. </w:t>
            </w:r>
          </w:p>
        </w:tc>
      </w:tr>
    </w:tbl>
    <w:p w:rsidR="00CE0FCA" w:rsidP="00132A45">
      <w:pPr>
        <w:pStyle w:val="NoPaddingFontSize1"/>
      </w:pPr>
    </w:p>
    <w:p w:rsidR="00CE0FCA" w:rsidP="00132A45">
      <w:pPr>
        <w:pStyle w:val="NoPaddingFontSize1"/>
      </w:pPr>
    </w:p>
    <w:p w:rsidR="00000000" w:rsidRPr="00132A45" w:rsidP="00132A45">
      <w:pPr>
        <w:pStyle w:val="Heading1"/>
      </w:pPr>
      <w:bookmarkStart w:id="3" w:name="O_1004817"/>
      <w:bookmarkEnd w:id="3"/>
      <w:r w:rsidRPr="00132A45">
        <w:t>Pre-requisite Unit</w:t>
      </w:r>
    </w:p>
    <w:tbl>
      <w:tblPr>
        <w:tblW w:w="9497" w:type="dxa"/>
        <w:tblLayout w:type="fixed"/>
        <w:tblCellMar>
          <w:left w:w="62" w:type="dxa"/>
          <w:right w:w="62" w:type="dxa"/>
        </w:tblCellMar>
        <w:tblLook w:val="0000"/>
      </w:tblPr>
      <w:tblGrid>
        <w:gridCol w:w="9497"/>
      </w:tblGrid>
      <w:tr w:rsidTr="00132A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2A45" w:rsidP="00132A45">
            <w:pPr>
              <w:pStyle w:val="BodyText"/>
            </w:pPr>
            <w:r w:rsidRPr="00132A45">
              <w:t>All competencies in the Common Unit Group must have been completed, plus all com</w:t>
            </w:r>
            <w:r w:rsidRPr="00132A45">
              <w:t xml:space="preserve">petencies in one (1) of the identified Pathway Unit Group(s). </w:t>
            </w:r>
          </w:p>
          <w:p w:rsidR="00000000" w:rsidRPr="00132A45" w:rsidP="00132A45">
            <w:pPr>
              <w:pStyle w:val="BodyText"/>
            </w:pPr>
            <w:r w:rsidRPr="00132A45">
              <w:t>Common Unit Group</w:t>
            </w:r>
          </w:p>
          <w:p w:rsidR="00000000" w:rsidRPr="00132A45" w:rsidP="00132A45">
            <w:pPr>
              <w:pStyle w:val="BodyText"/>
            </w:pPr>
            <w:r w:rsidRPr="00132A45">
              <w:t>UEENEED104A Use engineering applications software on personal computers</w:t>
            </w:r>
          </w:p>
          <w:p w:rsidR="00000000" w:rsidRPr="00132A45" w:rsidP="00132A45">
            <w:pPr>
              <w:pStyle w:val="BodyText"/>
            </w:pPr>
            <w:r w:rsidRPr="00132A45">
              <w:t>UEENEEE101A Apply Occupational Health and Safety regulations, codes and practices in the workplace</w:t>
            </w:r>
          </w:p>
          <w:p w:rsidR="00000000" w:rsidRPr="00132A45" w:rsidP="00132A45">
            <w:pPr>
              <w:pStyle w:val="BodyText"/>
            </w:pPr>
            <w:r w:rsidRPr="00132A45">
              <w:t>UEEN</w:t>
            </w:r>
            <w:r w:rsidRPr="00132A45">
              <w:t>EEE102A Fabricate, assemble and dismantle utilities industry components</w:t>
            </w:r>
          </w:p>
          <w:p w:rsidR="00000000" w:rsidRPr="00132A45" w:rsidP="00132A45">
            <w:pPr>
              <w:pStyle w:val="BodyText"/>
            </w:pPr>
            <w:r w:rsidRPr="00132A45">
              <w:t>UEENEEE104A Solve problems in d.c. circuits</w:t>
            </w:r>
          </w:p>
          <w:p w:rsidR="00000000" w:rsidRPr="00132A45" w:rsidP="00132A45">
            <w:pPr>
              <w:pStyle w:val="BodyText"/>
            </w:pPr>
            <w:r w:rsidRPr="00132A45">
              <w:t>UEENEEE107A Use drawings, diagrams, schedules, standards, codes and specifications</w:t>
            </w:r>
          </w:p>
          <w:p w:rsidR="00000000" w:rsidRPr="00132A45" w:rsidP="00132A45">
            <w:pPr>
              <w:pStyle w:val="BodyText"/>
            </w:pPr>
            <w:r w:rsidRPr="00132A45">
              <w:t>UEENEEE124A Compile and produce an energy sector detailed report</w:t>
            </w:r>
          </w:p>
          <w:p w:rsidR="00000000" w:rsidRPr="00132A45" w:rsidP="00132A45">
            <w:pPr>
              <w:pStyle w:val="BodyText"/>
            </w:pPr>
            <w:r w:rsidRPr="00132A45">
              <w:t>UEENEEE125A Provide engineering solutions for problems in complex multiple path circuits</w:t>
            </w:r>
          </w:p>
          <w:p w:rsidR="00000000" w:rsidRPr="00132A45" w:rsidP="00132A45">
            <w:pPr>
              <w:pStyle w:val="BodyText"/>
            </w:pPr>
            <w:r w:rsidRPr="00132A45">
              <w:t>UEENEEE126A Provide solutions to basic engineering computational problems</w:t>
            </w:r>
          </w:p>
          <w:p w:rsidR="00000000" w:rsidRPr="00132A45" w:rsidP="00132A45">
            <w:pPr>
              <w:pStyle w:val="BodyText"/>
            </w:pPr>
            <w:r w:rsidRPr="00132A45">
              <w:t>UEENEEG101A Solve problems i</w:t>
            </w:r>
            <w:r w:rsidRPr="00132A45">
              <w:t>n electromagnetic devices and related circuits</w:t>
            </w:r>
          </w:p>
          <w:p w:rsidR="00000000" w:rsidRPr="00132A45" w:rsidP="00132A45">
            <w:pPr>
              <w:pStyle w:val="BodyText"/>
            </w:pPr>
            <w:r w:rsidRPr="00132A45">
              <w:t>UEENEEG102A Solve problems in low voltage a.c. circuits</w:t>
            </w:r>
          </w:p>
          <w:p w:rsidR="00000000" w:rsidRPr="00132A45" w:rsidP="00132A45">
            <w:pPr>
              <w:pStyle w:val="BodyText"/>
            </w:pPr>
            <w:r w:rsidRPr="00132A45">
              <w:t>UEENEEG149A Provide engineering solutions to problems in complex polyphase power circuits</w:t>
            </w:r>
          </w:p>
          <w:p w:rsidR="00000000" w:rsidRPr="00132A45" w:rsidP="00132A45">
            <w:pPr>
              <w:pStyle w:val="BodyText"/>
            </w:pPr>
            <w:r w:rsidRPr="00132A45">
              <w:t>UETTDREL11 Apply sustainable energy and environmental procedure</w:t>
            </w:r>
            <w:r w:rsidRPr="00132A45">
              <w:t>s</w:t>
            </w:r>
          </w:p>
          <w:p w:rsidR="00000000" w:rsidRPr="00132A45" w:rsidP="00132A45">
            <w:pPr>
              <w:pStyle w:val="BodyText"/>
            </w:pPr>
            <w:r w:rsidRPr="00132A45">
              <w:t>UETTDREL16 Working safely near live electrical apparatus</w:t>
            </w:r>
          </w:p>
          <w:p w:rsidR="00000000" w:rsidRPr="00132A45" w:rsidP="00132A45">
            <w:pPr>
              <w:pStyle w:val="BodyText"/>
            </w:pPr>
            <w:r w:rsidRPr="00132A45">
              <w:t>UETTDRIS62 Implement and monitor the power system organisational WHS/OHS policies, procedures and programs</w:t>
            </w:r>
          </w:p>
          <w:p w:rsidR="00000000" w:rsidRPr="00132A45" w:rsidP="00132A45">
            <w:pPr>
              <w:pStyle w:val="BodyText"/>
            </w:pPr>
            <w:r w:rsidRPr="00132A45">
              <w:t xml:space="preserve">UETTDRIS63 Implement &amp; monitor power system environmental &amp; sustainable energy management </w:t>
            </w:r>
            <w:r w:rsidRPr="00132A45">
              <w:t>policies &amp; procedures</w:t>
            </w:r>
          </w:p>
          <w:p w:rsidR="00000000" w:rsidRPr="00132A45" w:rsidP="00132A45">
            <w:pPr>
              <w:pStyle w:val="BodyText"/>
            </w:pPr>
            <w:r w:rsidRPr="00132A45">
              <w:t>UETTDRSO48 Respond to discrete and interdependent protection operations</w:t>
            </w:r>
          </w:p>
          <w:p w:rsidR="00000000" w:rsidRPr="00132A45" w:rsidP="00132A45">
            <w:pPr>
              <w:pStyle w:val="BodyText"/>
            </w:pPr>
            <w:r w:rsidRPr="00132A45">
              <w:t>UETTDRSO49 Coordinate power system operations in a regulated energy market</w:t>
            </w:r>
          </w:p>
          <w:p w:rsidR="00000000" w:rsidRPr="00132A45" w:rsidP="00132A45">
            <w:pPr>
              <w:pStyle w:val="BodyText"/>
            </w:pPr>
            <w:r w:rsidRPr="00132A45">
              <w:t>Distribution and Sub-transmission Pathway Unit Group</w:t>
            </w:r>
          </w:p>
          <w:p w:rsidR="00000000" w:rsidRPr="00132A45" w:rsidP="00132A45">
            <w:pPr>
              <w:pStyle w:val="BodyText"/>
            </w:pPr>
            <w:r w:rsidRPr="00132A45">
              <w:t>UETTDRSO37 Develop high voltage di</w:t>
            </w:r>
            <w:r w:rsidRPr="00132A45">
              <w:t>stribution and sub-transmission switching programs</w:t>
            </w:r>
          </w:p>
          <w:p w:rsidR="00000000" w:rsidRPr="00132A45" w:rsidP="00132A45">
            <w:pPr>
              <w:pStyle w:val="BodyText"/>
            </w:pPr>
            <w:r w:rsidRPr="00132A45">
              <w:t>UETTDRSO40 Coordinate high voltage distribution and sub-transmission networks</w:t>
            </w:r>
          </w:p>
          <w:p w:rsidR="00000000" w:rsidRPr="00132A45" w:rsidP="00132A45">
            <w:pPr>
              <w:pStyle w:val="BodyText"/>
            </w:pPr>
            <w:r w:rsidRPr="00132A45">
              <w:t>Transmission Pathway Unit Group</w:t>
            </w:r>
          </w:p>
          <w:p w:rsidR="00000000" w:rsidRPr="00132A45" w:rsidP="00132A45">
            <w:pPr>
              <w:pStyle w:val="BodyText"/>
            </w:pPr>
            <w:r w:rsidRPr="00132A45">
              <w:t>UETTDRSO38 Develop and evaluate power systems transmission switching programs</w:t>
            </w:r>
          </w:p>
          <w:p w:rsidR="00000000" w:rsidRPr="00132A45" w:rsidP="00132A45">
            <w:pPr>
              <w:pStyle w:val="BodyText"/>
            </w:pPr>
            <w:r w:rsidRPr="00132A45">
              <w:t>UETTDRSO47 Coordi</w:t>
            </w:r>
            <w:r w:rsidRPr="00132A45">
              <w:t>nate high voltage transmission network</w:t>
            </w:r>
          </w:p>
        </w:tc>
      </w:tr>
    </w:tbl>
    <w:p w:rsidR="00000000" w:rsidRPr="00132A45" w:rsidP="00132A45">
      <w:pPr>
        <w:pStyle w:val="NoPaddingFontSize1"/>
      </w:pPr>
    </w:p>
    <w:p w:rsidR="00000000" w:rsidRPr="00132A45" w:rsidP="00132A45">
      <w:pPr>
        <w:pStyle w:val="AllowPageBreak"/>
      </w:pPr>
    </w:p>
    <w:p w:rsidR="00000000" w:rsidRPr="00132A45" w:rsidP="00132A45">
      <w:pPr>
        <w:pStyle w:val="Heading1"/>
      </w:pPr>
      <w:bookmarkStart w:id="4" w:name="O_1004818"/>
      <w:bookmarkEnd w:id="4"/>
      <w:r w:rsidRPr="00132A45">
        <w:t>Competency Field</w:t>
      </w:r>
    </w:p>
    <w:tbl>
      <w:tblPr>
        <w:tblW w:w="9497" w:type="dxa"/>
        <w:tblLayout w:type="fixed"/>
        <w:tblCellMar>
          <w:left w:w="62" w:type="dxa"/>
          <w:right w:w="62" w:type="dxa"/>
        </w:tblCellMar>
        <w:tblLook w:val="0000"/>
      </w:tblPr>
      <w:tblGrid>
        <w:gridCol w:w="9497"/>
      </w:tblGrid>
      <w:tr w:rsidTr="00132A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2A45" w:rsidP="00132A45">
            <w:pPr>
              <w:pStyle w:val="BodyText"/>
            </w:pPr>
            <w:r w:rsidRPr="00132A45">
              <w:t>System Operations</w:t>
            </w:r>
          </w:p>
        </w:tc>
      </w:tr>
    </w:tbl>
    <w:p w:rsidR="00000000" w:rsidRPr="00132A45" w:rsidP="00132A45">
      <w:pPr>
        <w:pStyle w:val="NoPaddingFontSize1"/>
      </w:pPr>
    </w:p>
    <w:p w:rsidR="00000000" w:rsidRPr="00132A45" w:rsidP="00132A45">
      <w:pPr>
        <w:pStyle w:val="AllowPageBreak"/>
      </w:pPr>
    </w:p>
    <w:p w:rsidR="00000000" w:rsidRPr="00132A45" w:rsidP="00132A45">
      <w:pPr>
        <w:pStyle w:val="Heading1"/>
      </w:pPr>
      <w:bookmarkStart w:id="5" w:name="O_1004819"/>
      <w:bookmarkEnd w:id="5"/>
      <w:r w:rsidRPr="00132A45">
        <w:t>Unit Sector</w:t>
      </w:r>
    </w:p>
    <w:tbl>
      <w:tblPr>
        <w:tblW w:w="9497" w:type="dxa"/>
        <w:tblLayout w:type="fixed"/>
        <w:tblCellMar>
          <w:left w:w="62" w:type="dxa"/>
          <w:right w:w="62" w:type="dxa"/>
        </w:tblCellMar>
        <w:tblLook w:val="0000"/>
      </w:tblPr>
      <w:tblGrid>
        <w:gridCol w:w="9497"/>
      </w:tblGrid>
      <w:tr w:rsidTr="00132A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2A45" w:rsidP="00132A45">
            <w:pPr>
              <w:pStyle w:val="BodyText"/>
            </w:pPr>
            <w:r w:rsidRPr="00132A45">
              <w:t>Not applicable.</w:t>
            </w:r>
          </w:p>
        </w:tc>
      </w:tr>
    </w:tbl>
    <w:p w:rsidR="00000000" w:rsidRPr="00132A45" w:rsidP="00132A45">
      <w:pPr>
        <w:pStyle w:val="NoPaddingFontSize1"/>
      </w:pPr>
    </w:p>
    <w:p w:rsidR="00000000" w:rsidRPr="00132A45" w:rsidP="00132A45">
      <w:pPr>
        <w:pStyle w:val="AllowPageBreak"/>
      </w:pPr>
    </w:p>
    <w:p w:rsidR="00000000" w:rsidRPr="00132A45" w:rsidP="00132A45">
      <w:pPr>
        <w:pStyle w:val="Heading1"/>
      </w:pPr>
      <w:bookmarkStart w:id="6" w:name="O_1004820"/>
      <w:bookmarkEnd w:id="6"/>
      <w:r w:rsidRPr="00132A4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32A4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32A45" w:rsidP="00132A45">
            <w:pPr>
              <w:pStyle w:val="BodyText"/>
            </w:pPr>
            <w:r w:rsidRPr="00132A4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rPr>
                <w:rStyle w:val="SpecialBold"/>
              </w:rPr>
              <w:t>PERFORMANCE CRITERIA</w:t>
            </w:r>
          </w:p>
        </w:tc>
      </w:tr>
      <w:tr w:rsidTr="00132A4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t>Performance criteria describe the performance needed to demonstrate achievement of the element.</w:t>
            </w:r>
          </w:p>
        </w:tc>
      </w:tr>
      <w:tr w:rsidTr="00132A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32A45" w:rsidP="00132A45">
            <w:pPr>
              <w:pStyle w:val="BodyText"/>
            </w:pPr>
            <w:r w:rsidRPr="00132A4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32A45" w:rsidP="00132A45">
            <w:pPr>
              <w:pStyle w:val="BodyText"/>
            </w:pPr>
            <w:r w:rsidRPr="00132A45">
              <w:rPr>
                <w:rStyle w:val="SpecialBold"/>
              </w:rPr>
              <w:t>Plan for the control of a generation plant</w:t>
            </w:r>
          </w:p>
        </w:tc>
        <w:tc>
          <w:tcPr>
            <w:tcW w:w="697" w:type="dxa"/>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t>Work health and safety (WHS)/occupational health and safety (OHS)</w:t>
            </w:r>
            <w:r w:rsidRPr="00132A45">
              <w:t xml:space="preserve"> practices/procedures and environmental and sustainable energy procedures, which may influence the control of the generating plant, are reviewed and determined</w:t>
            </w:r>
          </w:p>
        </w:tc>
      </w:tr>
      <w:tr w:rsidTr="00132A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2A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t>Purpose of the control is established after data is analysed and expected outcomes of the</w:t>
            </w:r>
            <w:r w:rsidRPr="00132A45">
              <w:t xml:space="preserve"> work are </w:t>
            </w:r>
            <w:r w:rsidRPr="00132A45">
              <w:t>confirmed with appropriate personnel</w:t>
            </w:r>
          </w:p>
        </w:tc>
      </w:tr>
      <w:tr w:rsidTr="00132A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2A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t>Organisational established procedures on policies and specifications for the control of the generating plant are obtained or established with appropriate personnel</w:t>
            </w:r>
          </w:p>
        </w:tc>
      </w:tr>
      <w:tr w:rsidTr="00132A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2A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t>Testing procedures are discussed with/directed to the appropriate personnel in order to ascertain the project brief</w:t>
            </w:r>
          </w:p>
        </w:tc>
      </w:tr>
      <w:tr w:rsidTr="00132A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2A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t>Testing parameters are established from organisational established procedures on policies and specifications</w:t>
            </w:r>
          </w:p>
        </w:tc>
      </w:tr>
      <w:tr w:rsidTr="00132A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2A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t>Equipment/tools a</w:t>
            </w:r>
            <w:r w:rsidRPr="00132A45">
              <w:t>nd personal protective equipment (PPE) are selected based on specified performance criteria and established procedures</w:t>
            </w:r>
          </w:p>
        </w:tc>
      </w:tr>
      <w:tr w:rsidTr="00132A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2A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t>Work roles and tasks are allocated according to requirements and individual competencies</w:t>
            </w:r>
          </w:p>
        </w:tc>
      </w:tr>
      <w:tr w:rsidTr="00132A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2A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t>Work is prioritised and sequenced for the most efficient/effective outcome, completed within an acceptable timeframe, to a quality standard and in accordance with established procedures</w:t>
            </w:r>
          </w:p>
        </w:tc>
      </w:tr>
      <w:tr w:rsidTr="00132A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2A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t>Liaison and communication issues with others/authorised personn</w:t>
            </w:r>
            <w:r w:rsidRPr="00132A45">
              <w:t>el, authorities, clients and land owners are resolved and activities coordinated to carry out work</w:t>
            </w:r>
          </w:p>
        </w:tc>
      </w:tr>
      <w:tr w:rsidTr="00132A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2A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t>Risk control measures are identified, prioritised and evaluated against the work schedule</w:t>
            </w:r>
          </w:p>
        </w:tc>
      </w:tr>
      <w:tr w:rsidTr="00132A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2A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t>Relevant work permits are secured to coordinate the</w:t>
            </w:r>
            <w:r w:rsidRPr="00132A45">
              <w:t xml:space="preserve"> performance of work according to requirements and/or established procedures</w:t>
            </w:r>
          </w:p>
        </w:tc>
      </w:tr>
      <w:tr w:rsidTr="00132A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32A45" w:rsidP="00132A45">
            <w:pPr>
              <w:pStyle w:val="BodyText"/>
            </w:pPr>
            <w:r w:rsidRPr="00132A4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32A45" w:rsidP="00132A45">
            <w:pPr>
              <w:pStyle w:val="BodyText"/>
            </w:pPr>
            <w:r w:rsidRPr="00132A45">
              <w:rPr>
                <w:rStyle w:val="SpecialBold"/>
              </w:rPr>
              <w:t>Carry out the control of a generation plant</w:t>
            </w:r>
          </w:p>
        </w:tc>
        <w:tc>
          <w:tcPr>
            <w:tcW w:w="697" w:type="dxa"/>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t>Circuit/systems modelling is used to evaluate alternative proposals in accordance with established procedures</w:t>
            </w:r>
          </w:p>
        </w:tc>
      </w:tr>
      <w:tr w:rsidTr="00132A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2A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t>WHS/OHS and sustainable energy principles, functionality and practices to reduce the incidents of accidents and minimise waste are incorporated into the project in accordance with requirements and/or established procedures</w:t>
            </w:r>
          </w:p>
        </w:tc>
      </w:tr>
      <w:tr w:rsidTr="00132A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2A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t xml:space="preserve">Decisions for the control </w:t>
            </w:r>
            <w:r w:rsidRPr="00132A45">
              <w:t>of the generating plant are made on the basis of safety and effective outcomes according to requirements and/or established procedures</w:t>
            </w:r>
          </w:p>
        </w:tc>
      </w:tr>
      <w:tr w:rsidTr="00132A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2A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t>Mathematical and/or engineering models of the control procedures are used to analyse the effectiveness of the fini</w:t>
            </w:r>
            <w:r w:rsidRPr="00132A45">
              <w:t>shed project in accordance with requirements and established procedures</w:t>
            </w:r>
          </w:p>
        </w:tc>
      </w:tr>
      <w:tr w:rsidTr="00132A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2A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t xml:space="preserve">Technical advice is given regarding potential hazards, safety risks and control measures so that monitoring and preventative action can be undertaken and/or </w:t>
            </w:r>
            <w:r w:rsidRPr="00132A45">
              <w:t>appropriate authorities consulted, where necessary, in accordance with requirements and established procedures</w:t>
            </w:r>
          </w:p>
        </w:tc>
      </w:tr>
      <w:tr w:rsidTr="00132A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2A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t>Essential knowledge and associated skills are applied to analyse specific data and compare it with compliance specifications to ensure com</w:t>
            </w:r>
            <w:r w:rsidRPr="00132A45">
              <w:t>pletion of the project within an agreed timeframe according to requirements</w:t>
            </w:r>
          </w:p>
        </w:tc>
      </w:tr>
      <w:tr w:rsidTr="00132A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2A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t>Testing of control procedures is undertaken according to requirements and established procedures</w:t>
            </w:r>
          </w:p>
        </w:tc>
      </w:tr>
      <w:tr w:rsidTr="00132A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2A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t>Work teams/groups are arranged/coordinated/evaluated to ensure planne</w:t>
            </w:r>
            <w:r w:rsidRPr="00132A45">
              <w:t>d goals are met according to established procedures</w:t>
            </w:r>
          </w:p>
        </w:tc>
      </w:tr>
      <w:tr w:rsidTr="00132A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2A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t>Solutions to non-routine problems are identified and actioned using acquired essential knowledge and associated skills according to requirements</w:t>
            </w:r>
          </w:p>
        </w:tc>
      </w:tr>
      <w:tr w:rsidTr="00132A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2A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t>Quality of wo</w:t>
            </w:r>
            <w:r w:rsidRPr="00132A45">
              <w:t>rk is monitored against personal performance agreement and/or established organisational and professional standards</w:t>
            </w:r>
          </w:p>
        </w:tc>
      </w:tr>
      <w:tr w:rsidTr="00132A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2A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t>Strategic plans are developed incorporating organisation initiatives in accordance with established procedures</w:t>
            </w:r>
          </w:p>
        </w:tc>
      </w:tr>
      <w:tr w:rsidTr="00132A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32A45" w:rsidP="00132A45">
            <w:pPr>
              <w:pStyle w:val="BodyText"/>
            </w:pPr>
            <w:r w:rsidRPr="00132A4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32A45" w:rsidP="00132A45">
            <w:pPr>
              <w:pStyle w:val="BodyText"/>
            </w:pPr>
            <w:r w:rsidRPr="00132A45">
              <w:rPr>
                <w:rStyle w:val="SpecialBold"/>
              </w:rPr>
              <w:t>Complete the contr</w:t>
            </w:r>
            <w:r w:rsidRPr="00132A45">
              <w:rPr>
                <w:rStyle w:val="SpecialBold"/>
              </w:rPr>
              <w:t>ol of a generation plant</w:t>
            </w:r>
          </w:p>
        </w:tc>
        <w:tc>
          <w:tcPr>
            <w:tcW w:w="697" w:type="dxa"/>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t>Final review of the control procedures of the generating plant are undertaken to ensure they comply with all requirements and include all specifications and documentations needed to complete the project</w:t>
            </w:r>
          </w:p>
        </w:tc>
      </w:tr>
      <w:tr w:rsidTr="00132A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2A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t>Appropriate perso</w:t>
            </w:r>
            <w:r w:rsidRPr="00132A45">
              <w:t>nnel are notified of completion and reports and/or completion documents are finalised/commissioned</w:t>
            </w:r>
          </w:p>
        </w:tc>
      </w:tr>
      <w:tr w:rsidTr="00132A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2A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t>Reports and/or completion documents are submitted to relevant personnel/organisations for approval and, where applicable, statutory or regulatory approval</w:t>
            </w:r>
          </w:p>
        </w:tc>
      </w:tr>
      <w:tr w:rsidTr="00132A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32A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132A45" w:rsidP="00132A45">
            <w:pPr>
              <w:pStyle w:val="BodyText"/>
            </w:pPr>
            <w:r w:rsidRPr="00132A45">
              <w:t>Approved copies of the documents are issued and records are updated in accordance with establi</w:t>
            </w:r>
            <w:r w:rsidRPr="00132A45">
              <w:t>shed procedures</w:t>
            </w:r>
          </w:p>
        </w:tc>
      </w:tr>
    </w:tbl>
    <w:p w:rsidR="00000000" w:rsidRPr="00132A45" w:rsidP="00132A45">
      <w:pPr>
        <w:pStyle w:val="NoPaddingFontSize1"/>
      </w:pPr>
    </w:p>
    <w:p w:rsidR="00000000" w:rsidRPr="00132A45" w:rsidP="00132A45">
      <w:pPr>
        <w:pStyle w:val="AllowPageBreak"/>
      </w:pPr>
    </w:p>
    <w:p w:rsidR="00000000" w:rsidRPr="00132A45" w:rsidP="00132A45">
      <w:pPr>
        <w:pStyle w:val="Heading1"/>
      </w:pPr>
      <w:bookmarkStart w:id="7" w:name="O_1004821"/>
      <w:bookmarkEnd w:id="7"/>
      <w:r w:rsidRPr="00132A45">
        <w:t>Foundation Skills</w:t>
      </w:r>
    </w:p>
    <w:tbl>
      <w:tblPr>
        <w:tblW w:w="9497" w:type="dxa"/>
        <w:tblLayout w:type="fixed"/>
        <w:tblCellMar>
          <w:left w:w="62" w:type="dxa"/>
          <w:right w:w="62" w:type="dxa"/>
        </w:tblCellMar>
        <w:tblLook w:val="0000"/>
      </w:tblPr>
      <w:tblGrid>
        <w:gridCol w:w="9497"/>
      </w:tblGrid>
      <w:tr w:rsidTr="00132A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2A45" w:rsidP="00132A45">
            <w:pPr>
              <w:pStyle w:val="BodyText"/>
            </w:pPr>
            <w:r w:rsidRPr="00132A45">
              <w:t>Foundation skills essential to performance are explicit in the performance criteria of this unit of competency.</w:t>
            </w:r>
          </w:p>
        </w:tc>
      </w:tr>
    </w:tbl>
    <w:p w:rsidR="00000000" w:rsidRPr="00132A45" w:rsidP="00132A45">
      <w:pPr>
        <w:pStyle w:val="NoPaddingFontSize1"/>
      </w:pPr>
    </w:p>
    <w:p w:rsidR="00000000" w:rsidRPr="00132A45" w:rsidP="00132A45">
      <w:pPr>
        <w:pStyle w:val="AllowPageBreak"/>
      </w:pPr>
    </w:p>
    <w:p w:rsidR="00000000" w:rsidRPr="00132A45" w:rsidP="00132A45">
      <w:pPr>
        <w:pStyle w:val="Heading1"/>
      </w:pPr>
      <w:bookmarkStart w:id="8" w:name="O_1004822"/>
      <w:bookmarkEnd w:id="8"/>
      <w:r w:rsidRPr="00132A45">
        <w:t>Range of Conditions</w:t>
      </w:r>
    </w:p>
    <w:tbl>
      <w:tblPr>
        <w:tblW w:w="9497" w:type="dxa"/>
        <w:tblLayout w:type="fixed"/>
        <w:tblCellMar>
          <w:left w:w="62" w:type="dxa"/>
          <w:right w:w="62" w:type="dxa"/>
        </w:tblCellMar>
        <w:tblLook w:val="0000"/>
      </w:tblPr>
      <w:tblGrid>
        <w:gridCol w:w="9497"/>
      </w:tblGrid>
      <w:tr w:rsidTr="00132A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2A45" w:rsidP="00132A45">
            <w:pPr>
              <w:pStyle w:val="BodyText"/>
            </w:pPr>
            <w:r w:rsidRPr="00132A45">
              <w:t>Range is restricted to essential operating conditions and any other variables essential to the work environment.</w:t>
            </w:r>
          </w:p>
          <w:p w:rsidR="00000000" w:rsidRPr="00132A45" w:rsidP="00132A45">
            <w:pPr>
              <w:pStyle w:val="BodyText"/>
            </w:pPr>
            <w:r w:rsidRPr="00132A45">
              <w:t>Non-essential conditions may be found in the Companion Volume Implementation Guide.</w:t>
            </w:r>
          </w:p>
        </w:tc>
      </w:tr>
    </w:tbl>
    <w:p w:rsidR="00000000" w:rsidRPr="00132A45" w:rsidP="00132A45">
      <w:pPr>
        <w:pStyle w:val="NoPaddingFontSize1"/>
      </w:pPr>
    </w:p>
    <w:p w:rsidR="00000000" w:rsidRPr="00132A45" w:rsidP="00132A45">
      <w:pPr>
        <w:pStyle w:val="AllowPageBreak"/>
      </w:pPr>
    </w:p>
    <w:p w:rsidR="00000000" w:rsidRPr="00132A45" w:rsidP="00132A45">
      <w:pPr>
        <w:pStyle w:val="Heading1"/>
      </w:pPr>
      <w:bookmarkStart w:id="9" w:name="O_1004823"/>
      <w:bookmarkEnd w:id="9"/>
      <w:r w:rsidRPr="00132A45">
        <w:t>Unit Mapping Information</w:t>
      </w:r>
    </w:p>
    <w:tbl>
      <w:tblPr>
        <w:tblW w:w="9497" w:type="dxa"/>
        <w:tblLayout w:type="fixed"/>
        <w:tblCellMar>
          <w:left w:w="62" w:type="dxa"/>
          <w:right w:w="62" w:type="dxa"/>
        </w:tblCellMar>
        <w:tblLook w:val="0000"/>
      </w:tblPr>
      <w:tblGrid>
        <w:gridCol w:w="9497"/>
      </w:tblGrid>
      <w:tr w:rsidTr="00132A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2A45" w:rsidP="00132A45">
            <w:pPr>
              <w:pStyle w:val="BodyText"/>
            </w:pPr>
            <w:r w:rsidRPr="00132A45">
              <w:t>This unit rep</w:t>
            </w:r>
            <w:r w:rsidRPr="00132A45">
              <w:t>laces and is equivalent to UETTDRSO34A Control power systems generating plant.</w:t>
            </w:r>
          </w:p>
        </w:tc>
      </w:tr>
    </w:tbl>
    <w:p w:rsidR="00000000" w:rsidRPr="00132A45" w:rsidP="00132A45">
      <w:pPr>
        <w:pStyle w:val="NoPaddingFontSize1"/>
      </w:pPr>
    </w:p>
    <w:p w:rsidR="00000000" w:rsidRPr="00132A45" w:rsidP="00132A45">
      <w:pPr>
        <w:pStyle w:val="AllowPageBreak"/>
      </w:pPr>
    </w:p>
    <w:p w:rsidR="00000000" w:rsidRPr="00132A45" w:rsidP="00132A45">
      <w:pPr>
        <w:pStyle w:val="Heading1"/>
      </w:pPr>
      <w:bookmarkStart w:id="10" w:name="O_1004830"/>
      <w:bookmarkEnd w:id="10"/>
      <w:r w:rsidRPr="00132A45">
        <w:t>Links</w:t>
      </w:r>
    </w:p>
    <w:p w:rsidR="00000000" w:rsidRPr="00132A45" w:rsidP="00CE0FCA">
      <w:pPr>
        <w:pStyle w:val="BodyText"/>
      </w:pPr>
      <w:r w:rsidRPr="00132A45">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8851E6">
        <w:rPr>
          <w:rStyle w:val="Hyperlink"/>
        </w:rPr>
        <w:t>https://vetnet.gov.au/Pages/TrainingDocs.aspx?q=229bace1-b7bc-4653-9300-dffb13ecfad7</w:t>
      </w:r>
      <w:r>
        <w:fldChar w:fldCharType="end"/>
      </w:r>
    </w:p>
    <w:p w:rsidR="00000000" w:rsidRPr="00132A45" w:rsidP="00CE0FCA">
      <w:pPr>
        <w:pStyle w:val="BodyText"/>
        <w:sectPr w:rsidSect="00132A45">
          <w:headerReference w:type="default" r:id="rId10"/>
          <w:footerReference w:type="default" r:id="rId11"/>
          <w:pgSz w:w="11908" w:h="16833"/>
          <w:pgMar w:top="1702" w:right="1418" w:bottom="1702" w:left="1418" w:header="992" w:footer="992" w:gutter="0"/>
          <w:cols w:space="720"/>
          <w:noEndnote/>
          <w:docGrid w:linePitch="299"/>
        </w:sectPr>
      </w:pPr>
    </w:p>
    <w:p w:rsidR="00000000" w:rsidRPr="00132A45" w:rsidP="00132A45">
      <w:pPr>
        <w:pStyle w:val="SuperHeading"/>
      </w:pPr>
      <w:r w:rsidRPr="00132A45">
        <w:t>Assessment Requirements for UETTDRSO34 Control power systems generating plant</w:t>
      </w:r>
    </w:p>
    <w:p w:rsidR="00000000" w:rsidRPr="00132A45" w:rsidP="00132A45">
      <w:pPr>
        <w:pStyle w:val="Heading1"/>
      </w:pPr>
      <w:bookmarkStart w:id="11" w:name="O_1004825"/>
      <w:bookmarkEnd w:id="11"/>
      <w:r w:rsidRPr="00132A45">
        <w:t>Modification History</w:t>
      </w:r>
    </w:p>
    <w:tbl>
      <w:tblPr>
        <w:tblW w:w="9497" w:type="dxa"/>
        <w:tblLayout w:type="fixed"/>
        <w:tblCellMar>
          <w:left w:w="62" w:type="dxa"/>
          <w:right w:w="62" w:type="dxa"/>
        </w:tblCellMar>
        <w:tblLook w:val="0000"/>
      </w:tblPr>
      <w:tblGrid>
        <w:gridCol w:w="9497"/>
      </w:tblGrid>
      <w:tr w:rsidTr="00132A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2A45" w:rsidP="00132A45">
            <w:pPr>
              <w:pStyle w:val="BodyText"/>
            </w:pPr>
            <w:r w:rsidRPr="00132A45">
              <w:t xml:space="preserve">Release 1. This is the first release of this unit of competency in the </w:t>
            </w:r>
            <w:r w:rsidRPr="00132A45">
              <w:t>UET Transmission, Distribution and Rail Sector Training Package.</w:t>
            </w:r>
          </w:p>
        </w:tc>
      </w:tr>
    </w:tbl>
    <w:p w:rsidR="00000000" w:rsidRPr="00132A45" w:rsidP="00132A45">
      <w:pPr>
        <w:pStyle w:val="NoPaddingFontSize1"/>
      </w:pPr>
    </w:p>
    <w:p w:rsidR="00000000" w:rsidRPr="00132A45" w:rsidP="00132A45">
      <w:pPr>
        <w:pStyle w:val="AllowPageBreak"/>
      </w:pPr>
    </w:p>
    <w:p w:rsidR="00000000" w:rsidRPr="00132A45" w:rsidP="00132A45">
      <w:pPr>
        <w:pStyle w:val="Heading1"/>
      </w:pPr>
      <w:bookmarkStart w:id="12" w:name="O_1004826"/>
      <w:bookmarkEnd w:id="12"/>
      <w:r w:rsidRPr="00132A45">
        <w:t>Performance Evidence</w:t>
      </w:r>
    </w:p>
    <w:tbl>
      <w:tblPr>
        <w:tblW w:w="9497" w:type="dxa"/>
        <w:tblLayout w:type="fixed"/>
        <w:tblCellMar>
          <w:left w:w="62" w:type="dxa"/>
          <w:right w:w="62" w:type="dxa"/>
        </w:tblCellMar>
        <w:tblLook w:val="0000"/>
      </w:tblPr>
      <w:tblGrid>
        <w:gridCol w:w="9497"/>
      </w:tblGrid>
      <w:tr w:rsidTr="00132A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t xml:space="preserve">Evidence required to demonstrate competence in this unit must be relevant to and satisfy all of the requirements of the elements and performance criteria on at least two separate occasions and include:  </w:t>
            </w:r>
          </w:p>
        </w:tc>
      </w:tr>
      <w:tr w:rsidTr="00132A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2A45" w:rsidP="00132A45">
            <w:pPr>
              <w:pStyle w:val="ListBullet"/>
            </w:pPr>
            <w:r w:rsidRPr="00132A45">
              <w:t>applying relevant work health and safety (WHS)/occ</w:t>
            </w:r>
            <w:r w:rsidRPr="00132A45">
              <w:t xml:space="preserve">upational health and safety (OHS) requirements, including the use of risk control measures </w:t>
            </w:r>
          </w:p>
          <w:p w:rsidR="00000000" w:rsidRPr="00132A45" w:rsidP="00132A45">
            <w:pPr>
              <w:pStyle w:val="ListBullet"/>
            </w:pPr>
            <w:r w:rsidRPr="00132A45">
              <w:t>applying sustainable energy principles and practices</w:t>
            </w:r>
          </w:p>
          <w:p w:rsidR="00000000" w:rsidRPr="00132A45" w:rsidP="00132A45">
            <w:pPr>
              <w:pStyle w:val="ListBullet"/>
            </w:pPr>
            <w:r w:rsidRPr="00132A45">
              <w:t>managing an electricity generating plant including all of the following:</w:t>
            </w:r>
          </w:p>
          <w:p w:rsidR="00000000" w:rsidRPr="00132A45" w:rsidP="00132A45">
            <w:pPr>
              <w:pStyle w:val="ListBullet2"/>
            </w:pPr>
            <w:r w:rsidRPr="00132A45">
              <w:t>operating generator and excitation sy</w:t>
            </w:r>
            <w:r w:rsidRPr="00132A45">
              <w:t>stems</w:t>
            </w:r>
          </w:p>
          <w:p w:rsidR="00000000" w:rsidRPr="00132A45" w:rsidP="00132A45">
            <w:pPr>
              <w:pStyle w:val="ListBullet2"/>
            </w:pPr>
            <w:r w:rsidRPr="00132A45">
              <w:t>controlling and coordinating generation of electrical energy</w:t>
            </w:r>
          </w:p>
          <w:p w:rsidR="00000000" w:rsidRPr="00132A45" w:rsidP="00132A45">
            <w:pPr>
              <w:pStyle w:val="ListBullet2"/>
            </w:pPr>
            <w:r w:rsidRPr="00132A45">
              <w:t>analysing prime mover and alternator faults</w:t>
            </w:r>
          </w:p>
          <w:p w:rsidR="00000000" w:rsidRPr="00132A45" w:rsidP="00132A45">
            <w:pPr>
              <w:pStyle w:val="ListBullet2"/>
            </w:pPr>
            <w:r w:rsidRPr="00132A45">
              <w:t>effectively liaising with operating and regulatory authorities</w:t>
            </w:r>
          </w:p>
          <w:p w:rsidR="00000000" w:rsidRPr="00132A45" w:rsidP="00132A45">
            <w:pPr>
              <w:pStyle w:val="ListBullet2"/>
            </w:pPr>
            <w:r w:rsidRPr="00132A45">
              <w:t>recording events using both written and computerised logging systems</w:t>
            </w:r>
          </w:p>
          <w:p w:rsidR="00000000" w:rsidRPr="00132A45" w:rsidP="00132A45">
            <w:pPr>
              <w:pStyle w:val="ListBullet2"/>
            </w:pPr>
            <w:r w:rsidRPr="00132A45">
              <w:t>documenting/debriefing actions following an event resulting in loss of generation</w:t>
            </w:r>
          </w:p>
          <w:p w:rsidR="00000000" w:rsidRPr="00132A45" w:rsidP="00132A45">
            <w:pPr>
              <w:pStyle w:val="ListBullet"/>
            </w:pPr>
            <w:r w:rsidRPr="00132A45">
              <w:t>dealing with unplanned events on at least one (1) occasion.</w:t>
            </w:r>
          </w:p>
        </w:tc>
      </w:tr>
    </w:tbl>
    <w:p w:rsidR="00000000" w:rsidRPr="00132A45" w:rsidP="00132A45">
      <w:pPr>
        <w:pStyle w:val="NoPaddingFontSize1"/>
      </w:pPr>
    </w:p>
    <w:p w:rsidR="00000000" w:rsidRPr="00132A45" w:rsidP="00132A45">
      <w:pPr>
        <w:pStyle w:val="AllowPageBreak"/>
      </w:pPr>
    </w:p>
    <w:p w:rsidR="00000000" w:rsidRPr="00132A45" w:rsidP="00132A45">
      <w:pPr>
        <w:pStyle w:val="Heading1"/>
      </w:pPr>
      <w:bookmarkStart w:id="13" w:name="O_1004827"/>
      <w:bookmarkEnd w:id="13"/>
      <w:r w:rsidRPr="00132A45">
        <w:t>Knowledge Evidence</w:t>
      </w:r>
    </w:p>
    <w:tbl>
      <w:tblPr>
        <w:tblW w:w="9497" w:type="dxa"/>
        <w:tblLayout w:type="fixed"/>
        <w:tblCellMar>
          <w:left w:w="62" w:type="dxa"/>
          <w:right w:w="62" w:type="dxa"/>
        </w:tblCellMar>
        <w:tblLook w:val="0000"/>
      </w:tblPr>
      <w:tblGrid>
        <w:gridCol w:w="9497"/>
      </w:tblGrid>
      <w:tr w:rsidTr="00132A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32A45">
            <w:pPr>
              <w:pStyle w:val="BodyText"/>
              <w:rPr>
                <w:lang w:val="en-NZ"/>
              </w:rPr>
            </w:pPr>
            <w:r w:rsidRPr="00132A45">
              <w:t>Evidence required to demonstrate competence in this unit must be relevant to and satisfy all of the requirements of the elements and performance criteria and include knowledge of:</w:t>
            </w:r>
          </w:p>
        </w:tc>
      </w:tr>
      <w:tr w:rsidTr="00132A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2A45" w:rsidP="00132A45">
            <w:pPr>
              <w:pStyle w:val="ListBullet"/>
            </w:pPr>
            <w:r w:rsidRPr="00132A45">
              <w:t>enterprise-specific procedures and work practices relating to generating p</w:t>
            </w:r>
            <w:r w:rsidRPr="00132A45">
              <w:t>lant encompassing:</w:t>
            </w:r>
          </w:p>
          <w:p w:rsidR="00000000" w:rsidRPr="00132A45" w:rsidP="00132A45">
            <w:pPr>
              <w:pStyle w:val="ListBullet2"/>
            </w:pPr>
            <w:r w:rsidRPr="00132A45">
              <w:t>Commonwealth/state/territory and local government legislation, standards, codes, supply authority regulations and/or enterprise requirements applicable to the procedures and work practices relating to generating plant</w:t>
            </w:r>
          </w:p>
          <w:p w:rsidR="00000000" w:rsidRPr="00132A45" w:rsidP="00132A45">
            <w:pPr>
              <w:pStyle w:val="ListBullet2"/>
            </w:pPr>
            <w:r w:rsidRPr="00132A45">
              <w:t>requirements for the use of operational manuals, system diagrams/plans and drawings</w:t>
            </w:r>
          </w:p>
          <w:p w:rsidR="00000000" w:rsidRPr="00132A45" w:rsidP="00132A45">
            <w:pPr>
              <w:pStyle w:val="ListBullet2"/>
            </w:pPr>
            <w:r w:rsidRPr="00132A45">
              <w:t>identifying and interpreting enterprise operating procedures</w:t>
            </w:r>
          </w:p>
          <w:p w:rsidR="00000000" w:rsidRPr="00132A45" w:rsidP="00132A45">
            <w:pPr>
              <w:pStyle w:val="ListBullet2"/>
            </w:pPr>
            <w:r w:rsidRPr="00132A45">
              <w:t>techniques in applying enterprise operating procedures</w:t>
            </w:r>
          </w:p>
          <w:p w:rsidR="00000000" w:rsidRPr="00132A45" w:rsidP="00132A45">
            <w:pPr>
              <w:pStyle w:val="ListBullet"/>
            </w:pPr>
            <w:r w:rsidRPr="00132A45">
              <w:t>voltage control techniques encompassing:</w:t>
            </w:r>
          </w:p>
          <w:p w:rsidR="00000000" w:rsidRPr="00132A45" w:rsidP="00132A45">
            <w:pPr>
              <w:pStyle w:val="ListBullet2"/>
            </w:pPr>
            <w:r w:rsidRPr="00132A45">
              <w:t>conditions le</w:t>
            </w:r>
            <w:r w:rsidRPr="00132A45">
              <w:t>ading to voltage collapse</w:t>
            </w:r>
          </w:p>
          <w:p w:rsidR="00000000" w:rsidRPr="00132A45" w:rsidP="00132A45">
            <w:pPr>
              <w:pStyle w:val="ListBullet2"/>
            </w:pPr>
            <w:r w:rsidRPr="00132A45">
              <w:t>effects on system of high voltage (HV) and low voltage (LV)</w:t>
            </w:r>
          </w:p>
          <w:p w:rsidR="00000000" w:rsidRPr="00132A45" w:rsidP="00132A45">
            <w:pPr>
              <w:pStyle w:val="ListBullet2"/>
            </w:pPr>
            <w:r w:rsidRPr="00132A45">
              <w:t>voltage control devices - voltage regulators applied to generators and synchronous phase modifiers; electromagnetic voltage regulators; series and parallel capacitors; on</w:t>
            </w:r>
            <w:r w:rsidRPr="00132A45">
              <w:t>-load tap changer (OLTC) transformers and static VAR compensators (SVC’s), including saturated reactor compensators, thyristor controlled reactor compensators and combined systems</w:t>
            </w:r>
          </w:p>
          <w:p w:rsidR="00000000" w:rsidRPr="00132A45" w:rsidP="00132A45">
            <w:pPr>
              <w:pStyle w:val="ListBullet2"/>
            </w:pPr>
            <w:r w:rsidRPr="00132A45">
              <w:t>production of harmonics and methods of harmonic control</w:t>
            </w:r>
          </w:p>
          <w:p w:rsidR="00000000" w:rsidRPr="00132A45" w:rsidP="00132A45">
            <w:pPr>
              <w:pStyle w:val="ListBullet2"/>
            </w:pPr>
            <w:r w:rsidRPr="00132A45">
              <w:t xml:space="preserve">location of voltage </w:t>
            </w:r>
            <w:r w:rsidRPr="00132A45">
              <w:t>control devices within the system</w:t>
            </w:r>
          </w:p>
          <w:p w:rsidR="00000000" w:rsidRPr="00132A45" w:rsidP="00132A45">
            <w:pPr>
              <w:pStyle w:val="ListBullet"/>
            </w:pPr>
            <w:r w:rsidRPr="00132A45">
              <w:t>power flow control encompassing:</w:t>
            </w:r>
          </w:p>
          <w:p w:rsidR="00000000" w:rsidRPr="00132A45" w:rsidP="00132A45">
            <w:pPr>
              <w:pStyle w:val="ListBullet2"/>
            </w:pPr>
            <w:r w:rsidRPr="00132A45">
              <w:t>use of system components to control power flow patterns - base load, spinning reserve, regulating machines, rapid start plant, phase shifting transformers and load shedding</w:t>
            </w:r>
          </w:p>
          <w:p w:rsidR="00000000" w:rsidRPr="00132A45" w:rsidP="00132A45">
            <w:pPr>
              <w:pStyle w:val="ListBullet2"/>
            </w:pPr>
            <w:r w:rsidRPr="00132A45">
              <w:t xml:space="preserve">principles of </w:t>
            </w:r>
            <w:r w:rsidRPr="00132A45">
              <w:t>automated control</w:t>
            </w:r>
          </w:p>
          <w:p w:rsidR="00000000" w:rsidRPr="00132A45" w:rsidP="00132A45">
            <w:pPr>
              <w:pStyle w:val="ListBullet2"/>
            </w:pPr>
            <w:r w:rsidRPr="00132A45">
              <w:t>synchronising power</w:t>
            </w:r>
          </w:p>
          <w:p w:rsidR="00000000" w:rsidRPr="00132A45" w:rsidP="00132A45">
            <w:pPr>
              <w:pStyle w:val="ListBullet2"/>
            </w:pPr>
            <w:r w:rsidRPr="00132A45">
              <w:t>relationship of power and frequency</w:t>
            </w:r>
          </w:p>
          <w:p w:rsidR="00000000" w:rsidRPr="00132A45" w:rsidP="00132A45">
            <w:pPr>
              <w:pStyle w:val="ListBullet2"/>
            </w:pPr>
            <w:r w:rsidRPr="00132A45">
              <w:t>machine stabilisation techniques</w:t>
            </w:r>
          </w:p>
          <w:p w:rsidR="00000000" w:rsidRPr="00132A45" w:rsidP="00132A45">
            <w:pPr>
              <w:pStyle w:val="ListBullet2"/>
            </w:pPr>
            <w:r w:rsidRPr="00132A45">
              <w:t>system oscillations and stability - damped and undamped oscillation, relationship of fault cle</w:t>
            </w:r>
            <w:r w:rsidRPr="00132A45">
              <w:t>arance times and system stability, and critical clearance times</w:t>
            </w:r>
          </w:p>
          <w:p w:rsidR="00000000" w:rsidRPr="00132A45" w:rsidP="00132A45">
            <w:pPr>
              <w:pStyle w:val="ListBullet"/>
            </w:pPr>
            <w:r w:rsidRPr="00132A45">
              <w:t>alternators operation and control encompassing:</w:t>
            </w:r>
          </w:p>
          <w:p w:rsidR="00000000" w:rsidRPr="00132A45" w:rsidP="00132A45">
            <w:pPr>
              <w:pStyle w:val="ListBullet2"/>
            </w:pPr>
            <w:r w:rsidRPr="00132A45">
              <w:t xml:space="preserve">constructional features of alternators - weights, lengths, cooling mediums, cooling systems, prime mover types, prime mover attachment, types </w:t>
            </w:r>
            <w:r w:rsidRPr="00132A45">
              <w:t>of windings and core arrangements</w:t>
            </w:r>
          </w:p>
          <w:p w:rsidR="00000000" w:rsidRPr="00132A45" w:rsidP="00132A45">
            <w:pPr>
              <w:pStyle w:val="ListBullet2"/>
            </w:pPr>
            <w:r w:rsidRPr="00132A45">
              <w:t>principle of operation - induction machines and synchronous machines</w:t>
            </w:r>
          </w:p>
          <w:p w:rsidR="00000000" w:rsidRPr="00132A45" w:rsidP="00132A45">
            <w:pPr>
              <w:pStyle w:val="ListBullet2"/>
            </w:pPr>
            <w:r w:rsidRPr="00132A45">
              <w:t>modes of operation - island and infinite bus operation, running up of prime movers, loading the alternator, requirements for synchronising and methods of</w:t>
            </w:r>
            <w:r w:rsidRPr="00132A45">
              <w:t xml:space="preserve"> synchronising</w:t>
            </w:r>
          </w:p>
          <w:p w:rsidR="00000000" w:rsidRPr="00132A45" w:rsidP="00132A45">
            <w:pPr>
              <w:pStyle w:val="ListBullet2"/>
            </w:pPr>
            <w:r w:rsidRPr="00132A45">
              <w:t>use of reactive capability diagram - related diagram types, current circle diagram, performance chart, capability diagram, values represented, per unit representation, and limits representation and meaning</w:t>
            </w:r>
          </w:p>
          <w:p w:rsidR="00000000" w:rsidRPr="00132A45" w:rsidP="00132A45">
            <w:pPr>
              <w:pStyle w:val="ListBullet2"/>
            </w:pPr>
            <w:r w:rsidRPr="00132A45">
              <w:t xml:space="preserve">automatic voltage regulators (AVR) </w:t>
            </w:r>
            <w:r w:rsidRPr="00132A45">
              <w:t>- need for voltage control, required attributes of an AVR, range, response time, constraints on AVR capability, desirable attributes of an AVR, power consumption, compensation, rotor stabilisation and automatic changeover systems, input and output requirem</w:t>
            </w:r>
            <w:r w:rsidRPr="00132A45">
              <w:t>ents and components</w:t>
            </w:r>
          </w:p>
          <w:p w:rsidR="00000000" w:rsidRPr="00132A45" w:rsidP="00132A45">
            <w:pPr>
              <w:pStyle w:val="ListBullet2"/>
            </w:pPr>
            <w:r w:rsidRPr="00132A45">
              <w:t>operation on an infinite bus - definition of infinite bus, power/angle dependence, reactive flow/voltage dependence, power/angle diagram, effect of saliency, transient conditions, practical and theoretical stability limits, voltage depe</w:t>
            </w:r>
            <w:r w:rsidRPr="00132A45">
              <w:t>ndence of stability, control of reactive flow using AVR and generator transformer tap changer</w:t>
            </w:r>
          </w:p>
          <w:p w:rsidR="00000000" w:rsidRPr="00132A45" w:rsidP="00132A45">
            <w:pPr>
              <w:pStyle w:val="ListBullet"/>
            </w:pPr>
            <w:r w:rsidRPr="00132A45">
              <w:t>prime mover principles encompassing:</w:t>
            </w:r>
          </w:p>
          <w:p w:rsidR="00000000" w:rsidRPr="00132A45" w:rsidP="00132A45">
            <w:pPr>
              <w:pStyle w:val="ListBullet2"/>
            </w:pPr>
            <w:r w:rsidRPr="00132A45">
              <w:t xml:space="preserve">Commonwealth/state/territory and local government legislation, supply authority regulations, </w:t>
            </w:r>
            <w:r w:rsidRPr="00132A45">
              <w:t>standards, codes and/or enterprise requirements applicable to the prime movers</w:t>
            </w:r>
          </w:p>
          <w:p w:rsidR="00000000" w:rsidRPr="00132A45" w:rsidP="00132A45">
            <w:pPr>
              <w:pStyle w:val="ListBullet2"/>
            </w:pPr>
            <w:r w:rsidRPr="00132A45">
              <w:t>requirements for the use of operational manuals, system diagrams/plans and drawings</w:t>
            </w:r>
          </w:p>
          <w:p w:rsidR="00000000" w:rsidRPr="00132A45" w:rsidP="00132A45">
            <w:pPr>
              <w:pStyle w:val="ListBullet2"/>
            </w:pPr>
            <w:r w:rsidRPr="00132A45">
              <w:t xml:space="preserve">types, characterizes and applications of energy sources and conversion systems – wind, steam </w:t>
            </w:r>
            <w:r w:rsidRPr="00132A45">
              <w:t>turbine, gas turbine and diesel.</w:t>
            </w:r>
          </w:p>
        </w:tc>
      </w:tr>
    </w:tbl>
    <w:p w:rsidR="00000000" w:rsidRPr="00132A45" w:rsidP="00132A45">
      <w:pPr>
        <w:pStyle w:val="NoPaddingFontSize1"/>
      </w:pPr>
    </w:p>
    <w:p w:rsidR="00000000" w:rsidRPr="00132A45" w:rsidP="00132A45">
      <w:pPr>
        <w:pStyle w:val="AllowPageBreak"/>
      </w:pPr>
    </w:p>
    <w:p w:rsidR="00000000" w:rsidRPr="00132A45" w:rsidP="00132A45">
      <w:pPr>
        <w:pStyle w:val="Heading1"/>
      </w:pPr>
      <w:bookmarkStart w:id="14" w:name="O_1004828"/>
      <w:bookmarkEnd w:id="14"/>
      <w:r w:rsidRPr="00132A45">
        <w:t>Assessment Conditions</w:t>
      </w:r>
    </w:p>
    <w:tbl>
      <w:tblPr>
        <w:tblW w:w="9497" w:type="dxa"/>
        <w:tblLayout w:type="fixed"/>
        <w:tblCellMar>
          <w:left w:w="62" w:type="dxa"/>
          <w:right w:w="62" w:type="dxa"/>
        </w:tblCellMar>
        <w:tblLook w:val="0000"/>
      </w:tblPr>
      <w:tblGrid>
        <w:gridCol w:w="9497"/>
      </w:tblGrid>
      <w:tr w:rsidTr="00132A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2A45" w:rsidP="00132A45">
            <w:pPr>
              <w:pStyle w:val="BodyText"/>
            </w:pPr>
            <w:r w:rsidRPr="00132A45">
              <w:t>Assessors must hold credentials specified within the Standards for Registered Training Organisations current at the time of assessment.</w:t>
            </w:r>
          </w:p>
          <w:p w:rsidR="00000000" w:rsidRPr="00132A45" w:rsidP="00132A45">
            <w:pPr>
              <w:pStyle w:val="BodyText"/>
            </w:pPr>
            <w:r w:rsidRPr="00132A45">
              <w:t>Assessment must satisfy the Principles of Assessment and Rules of Evidence and all regulatory requirements included within the Standards for Registered Training Organisations current at the time of assessment.</w:t>
            </w:r>
          </w:p>
          <w:p w:rsidR="00000000" w:rsidRPr="00132A45" w:rsidP="00132A45">
            <w:pPr>
              <w:pStyle w:val="BodyText"/>
            </w:pPr>
            <w:r w:rsidRPr="00132A45">
              <w:t>Assessment must occur in workplace operational</w:t>
            </w:r>
            <w:r w:rsidRPr="00132A45">
              <w:t xml:space="preserve"> situations where it is appropriate to do so; where this is not appropriate, assessment must occur in simulated conditions involving realistic and authentic activities that replicate operational workplace conditions.</w:t>
            </w:r>
          </w:p>
          <w:p w:rsidR="00000000" w:rsidRPr="00132A45" w:rsidP="00132A45">
            <w:pPr>
              <w:pStyle w:val="BodyText"/>
            </w:pPr>
            <w:r w:rsidRPr="00132A45">
              <w:t>Assessment processes and techniques mus</w:t>
            </w:r>
            <w:r w:rsidRPr="00132A45">
              <w:t>t be appropriate to the language, literacy and numeracy requirements of the work being performed and the needs of the candidate.</w:t>
            </w:r>
          </w:p>
          <w:p w:rsidR="00000000" w:rsidRPr="00132A45" w:rsidP="00132A45">
            <w:pPr>
              <w:pStyle w:val="BodyText"/>
            </w:pPr>
            <w:r w:rsidRPr="00132A45">
              <w:t>Resources for assessment must include access to:</w:t>
            </w:r>
          </w:p>
          <w:p w:rsidR="00000000" w:rsidRPr="00132A45" w:rsidP="00132A45">
            <w:pPr>
              <w:pStyle w:val="ListBullet"/>
            </w:pPr>
            <w:r w:rsidRPr="00132A45">
              <w:t>a range of relevant exercises, case studies and/or other simulations</w:t>
            </w:r>
          </w:p>
          <w:p w:rsidR="00000000" w:rsidRPr="00132A45" w:rsidP="00132A45">
            <w:pPr>
              <w:pStyle w:val="ListBullet"/>
            </w:pPr>
            <w:r w:rsidRPr="00132A45">
              <w:t>relevant</w:t>
            </w:r>
            <w:r w:rsidRPr="00132A45">
              <w:t xml:space="preserve"> and appropriate materials, tools, facilities, equipment, protection, control, metering and alarm equipment, computerised electrical plant control and monitoring facilities, and personal protective equipment (PPE) currently used in industry</w:t>
            </w:r>
          </w:p>
          <w:p w:rsidR="00000000" w:rsidRPr="00132A45" w:rsidP="00132A45">
            <w:pPr>
              <w:pStyle w:val="ListBullet"/>
            </w:pPr>
            <w:r w:rsidRPr="00132A45">
              <w:t>applicable docu</w:t>
            </w:r>
            <w:r w:rsidRPr="00132A45">
              <w:t>mentation, including workplace procedures, relevant industry standards, equipment specifications, regulations, codes of practice, operational event data, network drawings, crisis management procedures and operation manuals.</w:t>
            </w:r>
          </w:p>
        </w:tc>
      </w:tr>
    </w:tbl>
    <w:p w:rsidR="00000000" w:rsidRPr="00132A45" w:rsidP="00132A45">
      <w:pPr>
        <w:pStyle w:val="NoPaddingFontSize1"/>
      </w:pPr>
    </w:p>
    <w:p w:rsidR="00000000" w:rsidRPr="00132A45" w:rsidP="00132A45">
      <w:pPr>
        <w:pStyle w:val="AllowPageBreak"/>
      </w:pPr>
    </w:p>
    <w:p w:rsidR="00000000" w:rsidRPr="00132A45" w:rsidP="00132A45">
      <w:pPr>
        <w:pStyle w:val="Heading1"/>
      </w:pPr>
      <w:bookmarkStart w:id="15" w:name="O_1004831"/>
      <w:bookmarkEnd w:id="15"/>
      <w:r w:rsidRPr="00132A45">
        <w:t>Links</w:t>
      </w:r>
    </w:p>
    <w:p w:rsidR="00000000" w:rsidRPr="00132A45" w:rsidP="00CE0FCA">
      <w:pPr>
        <w:pStyle w:val="BodyText"/>
      </w:pPr>
      <w:r w:rsidRPr="00132A45">
        <w:t>UET T</w:t>
      </w:r>
      <w:r w:rsidRPr="00132A45">
        <w:t xml:space="preserve">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8851E6">
        <w:rPr>
          <w:rStyle w:val="Hyperlink"/>
        </w:rPr>
        <w:t>https://vetnet.gov.au/Pages/TrainingDocs.aspx?q=229bace1-b7bc-4653-9300-dffb13ecfad7</w:t>
      </w:r>
      <w:r>
        <w:fldChar w:fldCharType="end"/>
      </w:r>
    </w:p>
    <w:p w:rsidR="00000000" w:rsidRPr="00132A45" w:rsidP="00132A45"/>
    <w:sectPr w:rsidSect="00132A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A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A45" w:rsidRPr="00CE0FCA" w:rsidP="00CE0F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A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FCA" w:rsidP="00132A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E0FCA" w:rsidP="00132A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E0FCA" w:rsidP="00132A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A45" w:rsidP="00132A45">
    <w:pPr>
      <w:pStyle w:val="Footer"/>
      <w:framePr w:wrap="around"/>
    </w:pPr>
    <w:r>
      <w:fldChar w:fldCharType="begin"/>
    </w:r>
    <w:r>
      <w:instrText xml:space="preserve"> DOCPROPERTY  Subject  \* MERGEFORMAT </w:instrText>
    </w:r>
    <w:r>
      <w:fldChar w:fldCharType="separate"/>
    </w:r>
    <w:r w:rsidR="00CE0FCA">
      <w:t>Approved</w:t>
    </w:r>
    <w:r w:rsidR="00CE0FCA">
      <w:fldChar w:fldCharType="end"/>
    </w:r>
    <w:r>
      <w:tab/>
      <w:t xml:space="preserve">Page </w:t>
    </w:r>
    <w:r>
      <w:fldChar w:fldCharType="begin"/>
    </w:r>
    <w:r>
      <w:instrText xml:space="preserve"> PAGE  \* Arabic  \* MERGEFORMAT </w:instrText>
    </w:r>
    <w:r>
      <w:fldChar w:fldCharType="separate"/>
    </w:r>
    <w:r w:rsidR="00CE0FC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E0FCA">
      <w:rPr>
        <w:noProof/>
      </w:rPr>
      <w:t>6</w:t>
    </w:r>
    <w:r>
      <w:rPr>
        <w:noProof/>
      </w:rPr>
      <w:fldChar w:fldCharType="end"/>
    </w:r>
  </w:p>
  <w:p w:rsidR="00132A45" w:rsidP="00132A45">
    <w:pPr>
      <w:pStyle w:val="Footer"/>
      <w:framePr w:wrap="around"/>
    </w:pPr>
    <w:r>
      <w:t xml:space="preserve">© Commonwealth of Australia, </w:t>
    </w:r>
    <w:r>
      <w:fldChar w:fldCharType="begin"/>
    </w:r>
    <w:r>
      <w:instrText xml:space="preserve"> DATE  \@ "yyyy"  \* MERGEFORMAT </w:instrText>
    </w:r>
    <w:r>
      <w:fldChar w:fldCharType="separate"/>
    </w:r>
    <w:r w:rsidR="00CE0FCA">
      <w:rPr>
        <w:noProof/>
      </w:rPr>
      <w:t>2025</w:t>
    </w:r>
    <w:r>
      <w:fldChar w:fldCharType="end"/>
    </w:r>
    <w:r>
      <w:tab/>
    </w:r>
    <w:r>
      <w:fldChar w:fldCharType="begin"/>
    </w:r>
    <w:r>
      <w:instrText xml:space="preserve"> DOCPROPERTY  Author  \* MERGEFORMAT </w:instrText>
    </w:r>
    <w:r>
      <w:fldChar w:fldCharType="separate"/>
    </w:r>
    <w:r w:rsidR="00CE0FCA">
      <w:t>Powering Skills Organisation</w:t>
    </w:r>
    <w:r w:rsidR="00CE0FCA">
      <w:fldChar w:fldCharType="end"/>
    </w:r>
  </w:p>
  <w:p w:rsidR="00132A45" w:rsidP="00132A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A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F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2A45" w:rsidRPr="00CE0FCA" w:rsidP="00CE0F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A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FCA" w:rsidRPr="002D2AF8" w:rsidP="00132A45">
    <w:pPr>
      <w:pStyle w:val="Header"/>
      <w:framePr w:wrap="around"/>
    </w:pPr>
    <w:r>
      <w:fldChar w:fldCharType="begin"/>
    </w:r>
    <w:r>
      <w:instrText xml:space="preserve"> TITLE   \* MERGEFORMAT </w:instrText>
    </w:r>
    <w:r>
      <w:fldChar w:fldCharType="separate"/>
    </w:r>
    <w:r>
      <w:t>UETTDRSO34 Control power systems generating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E0FCA" w:rsidP="00132A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A45" w:rsidRPr="002D2AF8" w:rsidP="00132A45">
    <w:pPr>
      <w:pStyle w:val="Header"/>
      <w:framePr w:wrap="around"/>
    </w:pPr>
    <w:r>
      <w:fldChar w:fldCharType="begin"/>
    </w:r>
    <w:r>
      <w:instrText xml:space="preserve"> TITLE   \* MERGEFORMAT </w:instrText>
    </w:r>
    <w:r>
      <w:fldChar w:fldCharType="separate"/>
    </w:r>
    <w:r w:rsidR="00CE0FCA">
      <w:t>UETTDRSO34 Control power systems generating plant</w:t>
    </w:r>
    <w:r w:rsidR="00CE0FCA">
      <w:fldChar w:fldCharType="end"/>
    </w:r>
    <w:r>
      <w:tab/>
      <w:t xml:space="preserve">Date this document was generated: </w:t>
    </w:r>
    <w:r>
      <w:fldChar w:fldCharType="begin"/>
    </w:r>
    <w:r>
      <w:instrText xml:space="preserve"> CREATEDATE  \@ "d MMMM yyyy"  \* MERGEFORMAT </w:instrText>
    </w:r>
    <w:r>
      <w:fldChar w:fldCharType="separate"/>
    </w:r>
    <w:r w:rsidR="00CE0FCA">
      <w:rPr>
        <w:noProof/>
      </w:rPr>
      <w:t>1 March 2025</w:t>
    </w:r>
    <w:r>
      <w:fldChar w:fldCharType="end"/>
    </w:r>
  </w:p>
  <w:p w:rsidR="00132A45" w:rsidP="00132A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9AA5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82EB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D65E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A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2A45"/>
    <w:pPr>
      <w:spacing w:before="360" w:after="60"/>
      <w:outlineLvl w:val="0"/>
    </w:pPr>
    <w:rPr>
      <w:sz w:val="32"/>
    </w:rPr>
  </w:style>
  <w:style w:type="paragraph" w:styleId="Heading2">
    <w:name w:val="heading 2"/>
    <w:basedOn w:val="HeadingBase"/>
    <w:next w:val="BodyText"/>
    <w:link w:val="Heading2Char"/>
    <w:qFormat/>
    <w:rsid w:val="00132A45"/>
    <w:pPr>
      <w:keepLines/>
      <w:spacing w:before="240" w:after="120"/>
      <w:outlineLvl w:val="1"/>
    </w:pPr>
    <w:rPr>
      <w:sz w:val="28"/>
      <w:szCs w:val="40"/>
    </w:rPr>
  </w:style>
  <w:style w:type="paragraph" w:styleId="Heading3">
    <w:name w:val="heading 3"/>
    <w:basedOn w:val="HeadingBase"/>
    <w:next w:val="BodyText"/>
    <w:link w:val="Heading3Char"/>
    <w:qFormat/>
    <w:rsid w:val="00132A45"/>
    <w:pPr>
      <w:spacing w:before="180" w:after="120"/>
      <w:outlineLvl w:val="2"/>
    </w:pPr>
    <w:rPr>
      <w:spacing w:val="-10"/>
      <w:kern w:val="32"/>
    </w:rPr>
  </w:style>
  <w:style w:type="paragraph" w:styleId="Heading4">
    <w:name w:val="heading 4"/>
    <w:basedOn w:val="HeadingBase"/>
    <w:next w:val="BodyText"/>
    <w:link w:val="Heading4Char"/>
    <w:qFormat/>
    <w:rsid w:val="00132A45"/>
    <w:pPr>
      <w:spacing w:before="160" w:after="120"/>
      <w:outlineLvl w:val="3"/>
    </w:pPr>
    <w:rPr>
      <w:sz w:val="22"/>
    </w:rPr>
  </w:style>
  <w:style w:type="paragraph" w:styleId="Heading5">
    <w:name w:val="heading 5"/>
    <w:basedOn w:val="HeadingBase"/>
    <w:next w:val="Normal"/>
    <w:link w:val="Heading5Char"/>
    <w:qFormat/>
    <w:rsid w:val="00132A45"/>
    <w:pPr>
      <w:spacing w:before="80"/>
      <w:outlineLvl w:val="4"/>
    </w:pPr>
    <w:rPr>
      <w:color w:val="918585"/>
      <w:sz w:val="20"/>
    </w:rPr>
  </w:style>
  <w:style w:type="paragraph" w:styleId="Heading6">
    <w:name w:val="heading 6"/>
    <w:basedOn w:val="HeadingBase"/>
    <w:next w:val="Normal"/>
    <w:link w:val="Heading6Char"/>
    <w:qFormat/>
    <w:rsid w:val="00132A45"/>
    <w:pPr>
      <w:spacing w:before="60"/>
      <w:outlineLvl w:val="5"/>
    </w:pPr>
    <w:rPr>
      <w:color w:val="918585"/>
      <w:sz w:val="20"/>
    </w:rPr>
  </w:style>
  <w:style w:type="paragraph" w:styleId="Heading7">
    <w:name w:val="heading 7"/>
    <w:basedOn w:val="Normal"/>
    <w:next w:val="Normal"/>
    <w:link w:val="Heading7Char"/>
    <w:qFormat/>
    <w:rsid w:val="00132A45"/>
    <w:pPr>
      <w:ind w:left="720"/>
      <w:outlineLvl w:val="6"/>
    </w:pPr>
    <w:rPr>
      <w:i/>
    </w:rPr>
  </w:style>
  <w:style w:type="paragraph" w:styleId="Heading8">
    <w:name w:val="heading 8"/>
    <w:basedOn w:val="Normal"/>
    <w:next w:val="Normal"/>
    <w:link w:val="Heading8Char"/>
    <w:qFormat/>
    <w:rsid w:val="00132A45"/>
    <w:pPr>
      <w:ind w:left="720"/>
      <w:outlineLvl w:val="7"/>
    </w:pPr>
    <w:rPr>
      <w:i/>
    </w:rPr>
  </w:style>
  <w:style w:type="paragraph" w:styleId="Heading9">
    <w:name w:val="heading 9"/>
    <w:basedOn w:val="Normal"/>
    <w:next w:val="Normal"/>
    <w:link w:val="Heading9Char"/>
    <w:qFormat/>
    <w:rsid w:val="00132A45"/>
    <w:pPr>
      <w:ind w:left="720"/>
      <w:outlineLvl w:val="8"/>
    </w:pPr>
    <w:rPr>
      <w:i/>
    </w:rPr>
  </w:style>
  <w:style w:type="character" w:default="1" w:styleId="DefaultParagraphFont">
    <w:name w:val="Default Paragraph Font"/>
    <w:uiPriority w:val="1"/>
    <w:unhideWhenUsed/>
    <w:rsid w:val="00132A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2A45"/>
  </w:style>
  <w:style w:type="character" w:customStyle="1" w:styleId="Heading1Char">
    <w:name w:val="Heading 1 Char"/>
    <w:basedOn w:val="DefaultParagraphFont"/>
    <w:link w:val="Heading1"/>
    <w:rsid w:val="00132A45"/>
    <w:rPr>
      <w:rFonts w:ascii="Times New Roman" w:eastAsia="Times New Roman" w:hAnsi="Times New Roman" w:cs="Times New Roman"/>
      <w:b/>
      <w:sz w:val="32"/>
      <w:szCs w:val="20"/>
      <w:lang w:eastAsia="en-US"/>
    </w:rPr>
  </w:style>
  <w:style w:type="paragraph" w:styleId="BodyText">
    <w:name w:val="Body Text"/>
    <w:basedOn w:val="Normal"/>
    <w:link w:val="BodyTextChar"/>
    <w:rsid w:val="00132A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2A45"/>
    <w:rPr>
      <w:rFonts w:ascii="Times New Roman" w:eastAsia="Times New Roman" w:hAnsi="Times New Roman" w:cs="Times New Roman"/>
      <w:sz w:val="24"/>
      <w:lang w:eastAsia="en-US"/>
    </w:rPr>
  </w:style>
  <w:style w:type="paragraph" w:styleId="ListBullet">
    <w:name w:val="List Bullet"/>
    <w:basedOn w:val="List"/>
    <w:rsid w:val="00132A45"/>
    <w:pPr>
      <w:numPr>
        <w:numId w:val="12"/>
      </w:numPr>
      <w:tabs>
        <w:tab w:val="clear" w:pos="340"/>
      </w:tabs>
      <w:spacing w:before="40" w:after="40"/>
    </w:pPr>
  </w:style>
  <w:style w:type="character" w:customStyle="1" w:styleId="SpecialBold">
    <w:name w:val="Special Bold"/>
    <w:basedOn w:val="DefaultParagraphFont"/>
    <w:rsid w:val="00132A45"/>
    <w:rPr>
      <w:b/>
      <w:spacing w:val="0"/>
    </w:rPr>
  </w:style>
  <w:style w:type="paragraph" w:styleId="ListBullet2">
    <w:name w:val="List Bullet 2"/>
    <w:basedOn w:val="List2"/>
    <w:rsid w:val="00132A45"/>
    <w:pPr>
      <w:numPr>
        <w:numId w:val="13"/>
      </w:numPr>
      <w:tabs>
        <w:tab w:val="clear" w:pos="680"/>
      </w:tabs>
    </w:pPr>
  </w:style>
  <w:style w:type="paragraph" w:customStyle="1" w:styleId="SuperHeading">
    <w:name w:val="SuperHeading"/>
    <w:basedOn w:val="Normal"/>
    <w:rsid w:val="00132A45"/>
    <w:pPr>
      <w:spacing w:before="240" w:after="120"/>
      <w:outlineLvl w:val="0"/>
    </w:pPr>
    <w:rPr>
      <w:rFonts w:ascii="Times New Roman" w:hAnsi="Times New Roman"/>
      <w:b/>
      <w:sz w:val="32"/>
    </w:rPr>
  </w:style>
  <w:style w:type="paragraph" w:customStyle="1" w:styleId="AllowPageBreak">
    <w:name w:val="AllowPageBreak"/>
    <w:rsid w:val="00132A4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32A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2A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2A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2A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2A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2A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2A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2A45"/>
    <w:rPr>
      <w:rFonts w:ascii="Courier New" w:eastAsia="Times New Roman" w:hAnsi="Courier New" w:cs="Times New Roman"/>
      <w:i/>
      <w:szCs w:val="20"/>
      <w:lang w:eastAsia="en-US"/>
    </w:rPr>
  </w:style>
  <w:style w:type="paragraph" w:customStyle="1" w:styleId="HeadingBase">
    <w:name w:val="Heading Base"/>
    <w:rsid w:val="00132A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2A45"/>
    <w:pPr>
      <w:tabs>
        <w:tab w:val="right" w:leader="dot" w:pos="9072"/>
      </w:tabs>
      <w:ind w:left="567"/>
    </w:pPr>
    <w:rPr>
      <w:szCs w:val="22"/>
    </w:rPr>
  </w:style>
  <w:style w:type="paragraph" w:customStyle="1" w:styleId="TOCBase">
    <w:name w:val="TOC Base"/>
    <w:rsid w:val="00132A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2A45"/>
    <w:pPr>
      <w:tabs>
        <w:tab w:val="right" w:leader="dot" w:pos="9072"/>
      </w:tabs>
      <w:spacing w:before="40" w:after="40"/>
      <w:ind w:left="284"/>
    </w:pPr>
    <w:rPr>
      <w:rFonts w:ascii="Times New Roman" w:hAnsi="Times New Roman"/>
    </w:rPr>
  </w:style>
  <w:style w:type="paragraph" w:styleId="TOC1">
    <w:name w:val="toc 1"/>
    <w:basedOn w:val="TOCBase"/>
    <w:next w:val="Normal"/>
    <w:rsid w:val="00132A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2A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2A45"/>
    <w:rPr>
      <w:rFonts w:ascii="Times New Roman" w:eastAsia="Times New Roman" w:hAnsi="Times New Roman" w:cs="Times New Roman"/>
      <w:sz w:val="16"/>
      <w:lang w:eastAsia="en-US"/>
    </w:rPr>
  </w:style>
  <w:style w:type="paragraph" w:styleId="Title">
    <w:name w:val="Title"/>
    <w:basedOn w:val="HeadingBase"/>
    <w:link w:val="TitleChar"/>
    <w:qFormat/>
    <w:rsid w:val="00132A45"/>
    <w:pPr>
      <w:spacing w:before="5040"/>
      <w:jc w:val="center"/>
    </w:pPr>
    <w:rPr>
      <w:sz w:val="48"/>
      <w:szCs w:val="72"/>
      <w:lang w:val="en-US"/>
    </w:rPr>
  </w:style>
  <w:style w:type="character" w:customStyle="1" w:styleId="TitleChar">
    <w:name w:val="Title Char"/>
    <w:basedOn w:val="DefaultParagraphFont"/>
    <w:link w:val="Title"/>
    <w:rsid w:val="00132A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2A45"/>
    <w:pPr>
      <w:tabs>
        <w:tab w:val="left" w:pos="3600"/>
        <w:tab w:val="left" w:pos="3958"/>
      </w:tabs>
    </w:pPr>
  </w:style>
  <w:style w:type="paragraph" w:styleId="List">
    <w:name w:val="List"/>
    <w:basedOn w:val="BodyText"/>
    <w:next w:val="BodyText"/>
    <w:rsid w:val="00132A45"/>
    <w:pPr>
      <w:tabs>
        <w:tab w:val="left" w:pos="340"/>
      </w:tabs>
      <w:spacing w:before="60" w:after="60"/>
      <w:ind w:left="340" w:hanging="340"/>
    </w:pPr>
  </w:style>
  <w:style w:type="paragraph" w:customStyle="1" w:styleId="Note">
    <w:name w:val="Note"/>
    <w:basedOn w:val="BodyText"/>
    <w:rsid w:val="00132A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2A45"/>
    <w:pPr>
      <w:framePr w:wrap="auto" w:hAnchor="text" w:y="6049"/>
    </w:pPr>
    <w:rPr>
      <w:color w:val="000000"/>
      <w:sz w:val="40"/>
    </w:rPr>
  </w:style>
  <w:style w:type="paragraph" w:customStyle="1" w:styleId="TOCTitle">
    <w:name w:val="TOCTitle"/>
    <w:basedOn w:val="Heading1"/>
    <w:rsid w:val="00132A45"/>
    <w:pPr>
      <w:spacing w:after="240"/>
      <w:jc w:val="center"/>
      <w:outlineLvl w:val="9"/>
    </w:pPr>
    <w:rPr>
      <w:caps/>
    </w:rPr>
  </w:style>
  <w:style w:type="paragraph" w:customStyle="1" w:styleId="Version">
    <w:name w:val="Version"/>
    <w:rsid w:val="00132A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2A45"/>
    <w:pPr>
      <w:keepNext w:val="0"/>
      <w:tabs>
        <w:tab w:val="right" w:pos="4176"/>
      </w:tabs>
      <w:ind w:left="198" w:hanging="198"/>
    </w:pPr>
    <w:rPr>
      <w:rFonts w:ascii="Garamond" w:hAnsi="Garamond"/>
    </w:rPr>
  </w:style>
  <w:style w:type="paragraph" w:styleId="IndexHeading">
    <w:name w:val="index heading"/>
    <w:basedOn w:val="Normal"/>
    <w:next w:val="Index1"/>
    <w:semiHidden/>
    <w:rsid w:val="00132A45"/>
    <w:pPr>
      <w:spacing w:before="120" w:after="120"/>
    </w:pPr>
    <w:rPr>
      <w:rFonts w:ascii="Arial" w:hAnsi="Arial"/>
      <w:b/>
      <w:color w:val="918585"/>
      <w:sz w:val="24"/>
    </w:rPr>
  </w:style>
  <w:style w:type="paragraph" w:styleId="Header">
    <w:name w:val="header"/>
    <w:basedOn w:val="Normal"/>
    <w:link w:val="HeaderChar"/>
    <w:rsid w:val="00132A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2A45"/>
    <w:rPr>
      <w:rFonts w:ascii="Times New Roman" w:eastAsia="Times New Roman" w:hAnsi="Times New Roman" w:cs="Times New Roman"/>
      <w:sz w:val="16"/>
      <w:szCs w:val="20"/>
      <w:lang w:val="en-GB" w:eastAsia="en-US"/>
    </w:rPr>
  </w:style>
  <w:style w:type="paragraph" w:customStyle="1" w:styleId="Chapter">
    <w:name w:val="Chapter"/>
    <w:basedOn w:val="Normal"/>
    <w:rsid w:val="00132A45"/>
    <w:pPr>
      <w:spacing w:before="240"/>
    </w:pPr>
    <w:rPr>
      <w:rFonts w:ascii="Times New Roman" w:hAnsi="Times New Roman"/>
      <w:smallCaps/>
      <w:spacing w:val="80"/>
      <w:sz w:val="28"/>
    </w:rPr>
  </w:style>
  <w:style w:type="paragraph" w:customStyle="1" w:styleId="InChapter">
    <w:name w:val="InChapter"/>
    <w:basedOn w:val="Heading3"/>
    <w:rsid w:val="00132A45"/>
    <w:pPr>
      <w:spacing w:after="240"/>
      <w:outlineLvl w:val="9"/>
    </w:pPr>
    <w:rPr>
      <w:noProof/>
    </w:rPr>
  </w:style>
  <w:style w:type="paragraph" w:styleId="Index2">
    <w:name w:val="index 2"/>
    <w:basedOn w:val="Normal"/>
    <w:next w:val="Normal"/>
    <w:semiHidden/>
    <w:rsid w:val="00132A45"/>
    <w:pPr>
      <w:tabs>
        <w:tab w:val="right" w:pos="4176"/>
      </w:tabs>
      <w:ind w:left="568" w:hanging="284"/>
    </w:pPr>
    <w:rPr>
      <w:rFonts w:ascii="Garamond" w:hAnsi="Garamond"/>
    </w:rPr>
  </w:style>
  <w:style w:type="paragraph" w:customStyle="1" w:styleId="Byline">
    <w:name w:val="Byline"/>
    <w:rsid w:val="00132A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2A45"/>
    <w:pPr>
      <w:tabs>
        <w:tab w:val="clear" w:pos="3600"/>
        <w:tab w:val="clear" w:pos="3958"/>
      </w:tabs>
      <w:jc w:val="right"/>
    </w:pPr>
  </w:style>
  <w:style w:type="character" w:styleId="Emphasis">
    <w:name w:val="Emphasis"/>
    <w:basedOn w:val="DefaultParagraphFont"/>
    <w:qFormat/>
    <w:rsid w:val="00132A45"/>
    <w:rPr>
      <w:i/>
    </w:rPr>
  </w:style>
  <w:style w:type="paragraph" w:styleId="Caption">
    <w:name w:val="caption"/>
    <w:basedOn w:val="BodyText"/>
    <w:next w:val="Normal"/>
    <w:qFormat/>
    <w:rsid w:val="00132A45"/>
    <w:pPr>
      <w:framePr w:w="2268" w:hSpace="181" w:vSpace="181" w:wrap="around" w:vAnchor="text" w:hAnchor="page" w:x="1135" w:y="285" w:anchorLock="1"/>
    </w:pPr>
    <w:rPr>
      <w:i/>
    </w:rPr>
  </w:style>
  <w:style w:type="paragraph" w:customStyle="1" w:styleId="MiniTOCTitle">
    <w:name w:val="MiniTOCTitle"/>
    <w:basedOn w:val="Heading4"/>
    <w:rsid w:val="00132A45"/>
    <w:pPr>
      <w:spacing w:before="240"/>
      <w:outlineLvl w:val="9"/>
    </w:pPr>
    <w:rPr>
      <w:noProof/>
      <w:sz w:val="24"/>
    </w:rPr>
  </w:style>
  <w:style w:type="paragraph" w:customStyle="1" w:styleId="MiniTOCItem">
    <w:name w:val="MiniTOCItem"/>
    <w:basedOn w:val="ListBullet"/>
    <w:rsid w:val="00132A45"/>
    <w:pPr>
      <w:numPr>
        <w:numId w:val="0"/>
      </w:numPr>
      <w:tabs>
        <w:tab w:val="right" w:leader="dot" w:pos="6521"/>
      </w:tabs>
      <w:spacing w:before="0" w:after="0"/>
    </w:pPr>
  </w:style>
  <w:style w:type="paragraph" w:customStyle="1" w:styleId="TOFTitle">
    <w:name w:val="TOFTitle"/>
    <w:basedOn w:val="TOCTitle"/>
    <w:rsid w:val="00132A45"/>
  </w:style>
  <w:style w:type="paragraph" w:styleId="TableofFigures">
    <w:name w:val="table of figures"/>
    <w:basedOn w:val="Normal"/>
    <w:next w:val="Normal"/>
    <w:semiHidden/>
    <w:rsid w:val="00132A45"/>
    <w:pPr>
      <w:tabs>
        <w:tab w:val="right" w:leader="dot" w:pos="9072"/>
      </w:tabs>
      <w:ind w:left="970" w:hanging="403"/>
    </w:pPr>
    <w:rPr>
      <w:rFonts w:ascii="Times New Roman" w:hAnsi="Times New Roman"/>
      <w:b/>
    </w:rPr>
  </w:style>
  <w:style w:type="paragraph" w:styleId="ListNumber">
    <w:name w:val="List Number"/>
    <w:basedOn w:val="List"/>
    <w:rsid w:val="00132A45"/>
    <w:pPr>
      <w:numPr>
        <w:numId w:val="15"/>
      </w:numPr>
      <w:tabs>
        <w:tab w:val="clear" w:pos="340"/>
      </w:tabs>
    </w:pPr>
  </w:style>
  <w:style w:type="character" w:customStyle="1" w:styleId="WingdingSymbols">
    <w:name w:val="Wingding Symbols"/>
    <w:rsid w:val="00132A45"/>
    <w:rPr>
      <w:rFonts w:ascii="Wingdings" w:hAnsi="Wingdings"/>
    </w:rPr>
  </w:style>
  <w:style w:type="paragraph" w:customStyle="1" w:styleId="TableHeading">
    <w:name w:val="Table Heading"/>
    <w:basedOn w:val="HeadingBase"/>
    <w:rsid w:val="00132A45"/>
    <w:pPr>
      <w:keepLines/>
      <w:pBdr>
        <w:bottom w:val="single" w:sz="6" w:space="1" w:color="918585"/>
      </w:pBdr>
      <w:spacing w:before="240"/>
    </w:pPr>
  </w:style>
  <w:style w:type="character" w:customStyle="1" w:styleId="HotSpot">
    <w:name w:val="HotSpot"/>
    <w:rsid w:val="00132A45"/>
    <w:rPr>
      <w:color w:val="0033CC"/>
      <w:u w:val="none"/>
    </w:rPr>
  </w:style>
  <w:style w:type="paragraph" w:customStyle="1" w:styleId="BodyTextRight">
    <w:name w:val="Body Text Right"/>
    <w:basedOn w:val="BodyText"/>
    <w:rsid w:val="00132A45"/>
    <w:pPr>
      <w:spacing w:before="0" w:after="0"/>
      <w:jc w:val="right"/>
    </w:pPr>
  </w:style>
  <w:style w:type="paragraph" w:styleId="Index3">
    <w:name w:val="index 3"/>
    <w:basedOn w:val="ListNumber2"/>
    <w:next w:val="Normal"/>
    <w:semiHidden/>
    <w:rsid w:val="00132A45"/>
    <w:pPr>
      <w:numPr>
        <w:numId w:val="0"/>
      </w:numPr>
      <w:tabs>
        <w:tab w:val="right" w:leader="dot" w:pos="4176"/>
      </w:tabs>
    </w:pPr>
  </w:style>
  <w:style w:type="paragraph" w:styleId="ListNumber2">
    <w:name w:val="List Number 2"/>
    <w:basedOn w:val="List2"/>
    <w:rsid w:val="00132A45"/>
    <w:pPr>
      <w:numPr>
        <w:numId w:val="10"/>
      </w:numPr>
      <w:tabs>
        <w:tab w:val="clear" w:pos="1060"/>
      </w:tabs>
    </w:pPr>
  </w:style>
  <w:style w:type="paragraph" w:customStyle="1" w:styleId="MarginNote">
    <w:name w:val="Margin Note"/>
    <w:basedOn w:val="BodyText"/>
    <w:rsid w:val="00132A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2A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2A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2A45"/>
    <w:rPr>
      <w:sz w:val="32"/>
    </w:rPr>
  </w:style>
  <w:style w:type="paragraph" w:customStyle="1" w:styleId="HeadingProcedure">
    <w:name w:val="Heading Procedure"/>
    <w:basedOn w:val="HeadingBase"/>
    <w:next w:val="Normal"/>
    <w:rsid w:val="00132A45"/>
    <w:pPr>
      <w:tabs>
        <w:tab w:val="left" w:pos="0"/>
      </w:tabs>
      <w:spacing w:before="120" w:after="60"/>
    </w:pPr>
    <w:rPr>
      <w:i/>
      <w:color w:val="918585"/>
      <w:sz w:val="22"/>
    </w:rPr>
  </w:style>
  <w:style w:type="paragraph" w:customStyle="1" w:styleId="TableBodyText">
    <w:name w:val="Table Body Text"/>
    <w:basedOn w:val="BodyText"/>
    <w:rsid w:val="00132A45"/>
    <w:pPr>
      <w:spacing w:before="60" w:after="60"/>
    </w:pPr>
  </w:style>
  <w:style w:type="paragraph" w:styleId="ListContinue">
    <w:name w:val="List Continue"/>
    <w:basedOn w:val="List"/>
    <w:rsid w:val="00132A45"/>
    <w:pPr>
      <w:ind w:firstLine="0"/>
    </w:pPr>
  </w:style>
  <w:style w:type="paragraph" w:customStyle="1" w:styleId="ListNote">
    <w:name w:val="List Note"/>
    <w:basedOn w:val="List"/>
    <w:rsid w:val="00132A45"/>
    <w:pPr>
      <w:pBdr>
        <w:top w:val="single" w:sz="6" w:space="2" w:color="918585"/>
        <w:bottom w:val="single" w:sz="6" w:space="2" w:color="918585"/>
      </w:pBdr>
      <w:tabs>
        <w:tab w:val="left" w:pos="1021"/>
      </w:tabs>
      <w:ind w:firstLine="0"/>
    </w:pPr>
  </w:style>
  <w:style w:type="paragraph" w:customStyle="1" w:styleId="Warning">
    <w:name w:val="Warning"/>
    <w:basedOn w:val="BodyText"/>
    <w:rsid w:val="00132A45"/>
    <w:pPr>
      <w:shd w:val="clear" w:color="auto" w:fill="D9D9D9"/>
      <w:tabs>
        <w:tab w:val="left" w:pos="992"/>
      </w:tabs>
      <w:ind w:left="119" w:right="119"/>
    </w:pPr>
    <w:rPr>
      <w:sz w:val="20"/>
    </w:rPr>
  </w:style>
  <w:style w:type="paragraph" w:customStyle="1" w:styleId="MarginIcons">
    <w:name w:val="Margin Icons"/>
    <w:basedOn w:val="BodyText"/>
    <w:rsid w:val="00132A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2A45"/>
    <w:rPr>
      <w:rFonts w:ascii="Courier New" w:hAnsi="Courier New"/>
    </w:rPr>
  </w:style>
  <w:style w:type="paragraph" w:customStyle="1" w:styleId="NoteBullet">
    <w:name w:val="Note Bullet"/>
    <w:basedOn w:val="Note"/>
    <w:rsid w:val="00132A45"/>
    <w:pPr>
      <w:tabs>
        <w:tab w:val="clear" w:pos="680"/>
      </w:tabs>
      <w:spacing w:before="60" w:after="60"/>
    </w:pPr>
  </w:style>
  <w:style w:type="paragraph" w:customStyle="1" w:styleId="SubHeading2">
    <w:name w:val="SubHeading2"/>
    <w:basedOn w:val="HeadingBase"/>
    <w:rsid w:val="00132A45"/>
    <w:pPr>
      <w:spacing w:before="240" w:after="60"/>
    </w:pPr>
    <w:rPr>
      <w:sz w:val="20"/>
    </w:rPr>
  </w:style>
  <w:style w:type="paragraph" w:customStyle="1" w:styleId="SubHeading1">
    <w:name w:val="SubHeading1"/>
    <w:basedOn w:val="HeadingBase"/>
    <w:rsid w:val="00132A45"/>
    <w:pPr>
      <w:spacing w:before="240" w:after="60"/>
    </w:pPr>
    <w:rPr>
      <w:color w:val="918585"/>
      <w:sz w:val="22"/>
    </w:rPr>
  </w:style>
  <w:style w:type="paragraph" w:customStyle="1" w:styleId="SideHeading">
    <w:name w:val="Side Heading"/>
    <w:basedOn w:val="HeadingBase"/>
    <w:rsid w:val="00132A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2A45"/>
    <w:pPr>
      <w:tabs>
        <w:tab w:val="num" w:pos="360"/>
      </w:tabs>
    </w:pPr>
  </w:style>
  <w:style w:type="paragraph" w:styleId="PlainText">
    <w:name w:val="Plain Text"/>
    <w:basedOn w:val="Normal"/>
    <w:link w:val="PlainTextChar"/>
    <w:rsid w:val="00132A45"/>
    <w:rPr>
      <w:sz w:val="20"/>
    </w:rPr>
  </w:style>
  <w:style w:type="character" w:customStyle="1" w:styleId="PlainTextChar">
    <w:name w:val="Plain Text Char"/>
    <w:basedOn w:val="DefaultParagraphFont"/>
    <w:link w:val="PlainText"/>
    <w:rsid w:val="00132A45"/>
    <w:rPr>
      <w:rFonts w:ascii="Courier New" w:eastAsia="Times New Roman" w:hAnsi="Courier New" w:cs="Times New Roman"/>
      <w:sz w:val="20"/>
      <w:szCs w:val="20"/>
      <w:lang w:eastAsia="en-US"/>
    </w:rPr>
  </w:style>
  <w:style w:type="character" w:customStyle="1" w:styleId="MenuOption">
    <w:name w:val="Menu Option"/>
    <w:basedOn w:val="DefaultParagraphFont"/>
    <w:rsid w:val="00132A45"/>
    <w:rPr>
      <w:b/>
      <w:smallCaps/>
    </w:rPr>
  </w:style>
  <w:style w:type="paragraph" w:customStyle="1" w:styleId="TableListNumber">
    <w:name w:val="Table List Number"/>
    <w:basedOn w:val="ListNumber"/>
    <w:rsid w:val="00132A45"/>
    <w:pPr>
      <w:numPr>
        <w:numId w:val="0"/>
      </w:numPr>
    </w:pPr>
  </w:style>
  <w:style w:type="paragraph" w:styleId="TOC4">
    <w:name w:val="toc 4"/>
    <w:basedOn w:val="TOCBase"/>
    <w:next w:val="Normal"/>
    <w:semiHidden/>
    <w:rsid w:val="00132A45"/>
    <w:pPr>
      <w:tabs>
        <w:tab w:val="right" w:leader="dot" w:pos="9071"/>
      </w:tabs>
      <w:ind w:left="1701"/>
    </w:pPr>
  </w:style>
  <w:style w:type="paragraph" w:customStyle="1" w:styleId="ListAlpha">
    <w:name w:val="List Alpha"/>
    <w:basedOn w:val="List"/>
    <w:rsid w:val="00132A45"/>
    <w:pPr>
      <w:numPr>
        <w:numId w:val="9"/>
      </w:numPr>
    </w:pPr>
  </w:style>
  <w:style w:type="paragraph" w:customStyle="1" w:styleId="ListAlpha2">
    <w:name w:val="List Alpha 2"/>
    <w:basedOn w:val="List2"/>
    <w:rsid w:val="00132A45"/>
    <w:pPr>
      <w:numPr>
        <w:numId w:val="8"/>
      </w:numPr>
    </w:pPr>
  </w:style>
  <w:style w:type="paragraph" w:styleId="List2">
    <w:name w:val="List 2"/>
    <w:basedOn w:val="BodyText"/>
    <w:rsid w:val="00132A45"/>
    <w:pPr>
      <w:tabs>
        <w:tab w:val="left" w:pos="680"/>
      </w:tabs>
      <w:spacing w:before="60" w:after="60"/>
      <w:ind w:left="680" w:hanging="340"/>
    </w:pPr>
  </w:style>
  <w:style w:type="paragraph" w:styleId="List3">
    <w:name w:val="List 3"/>
    <w:basedOn w:val="BodyText"/>
    <w:rsid w:val="00132A45"/>
    <w:pPr>
      <w:tabs>
        <w:tab w:val="left" w:pos="1021"/>
      </w:tabs>
      <w:spacing w:before="60" w:after="60"/>
      <w:ind w:left="1020" w:hanging="340"/>
    </w:pPr>
  </w:style>
  <w:style w:type="paragraph" w:styleId="List4">
    <w:name w:val="List 4"/>
    <w:basedOn w:val="BodyText"/>
    <w:rsid w:val="00132A45"/>
    <w:pPr>
      <w:tabs>
        <w:tab w:val="left" w:pos="1361"/>
      </w:tabs>
      <w:spacing w:before="60" w:after="60"/>
      <w:ind w:left="1361" w:hanging="340"/>
    </w:pPr>
  </w:style>
  <w:style w:type="paragraph" w:styleId="List5">
    <w:name w:val="List 5"/>
    <w:basedOn w:val="BodyText"/>
    <w:rsid w:val="00132A45"/>
    <w:pPr>
      <w:tabs>
        <w:tab w:val="left" w:pos="1701"/>
      </w:tabs>
      <w:spacing w:before="60" w:after="60"/>
      <w:ind w:left="1701" w:hanging="340"/>
    </w:pPr>
  </w:style>
  <w:style w:type="paragraph" w:styleId="ListBullet3">
    <w:name w:val="List Bullet 3"/>
    <w:basedOn w:val="List3"/>
    <w:rsid w:val="00132A45"/>
    <w:pPr>
      <w:numPr>
        <w:numId w:val="14"/>
      </w:numPr>
      <w:tabs>
        <w:tab w:val="clear" w:pos="1021"/>
      </w:tabs>
      <w:ind w:left="1037" w:hanging="357"/>
    </w:pPr>
  </w:style>
  <w:style w:type="paragraph" w:styleId="ListBullet4">
    <w:name w:val="List Bullet 4"/>
    <w:basedOn w:val="List4"/>
    <w:rsid w:val="00132A45"/>
    <w:pPr>
      <w:numPr>
        <w:numId w:val="3"/>
      </w:numPr>
      <w:tabs>
        <w:tab w:val="clear" w:pos="1361"/>
      </w:tabs>
    </w:pPr>
  </w:style>
  <w:style w:type="paragraph" w:styleId="ListBullet5">
    <w:name w:val="List Bullet 5"/>
    <w:basedOn w:val="List5"/>
    <w:rsid w:val="00132A45"/>
    <w:pPr>
      <w:numPr>
        <w:numId w:val="4"/>
      </w:numPr>
    </w:pPr>
  </w:style>
  <w:style w:type="paragraph" w:styleId="ListContinue2">
    <w:name w:val="List Continue 2"/>
    <w:basedOn w:val="List2"/>
    <w:rsid w:val="00132A45"/>
    <w:pPr>
      <w:ind w:firstLine="0"/>
    </w:pPr>
  </w:style>
  <w:style w:type="paragraph" w:styleId="ListContinue3">
    <w:name w:val="List Continue 3"/>
    <w:basedOn w:val="List3"/>
    <w:rsid w:val="00132A45"/>
    <w:pPr>
      <w:ind w:left="1021" w:firstLine="0"/>
    </w:pPr>
  </w:style>
  <w:style w:type="paragraph" w:styleId="ListContinue4">
    <w:name w:val="List Continue 4"/>
    <w:basedOn w:val="List4"/>
    <w:rsid w:val="00132A45"/>
    <w:pPr>
      <w:ind w:firstLine="0"/>
    </w:pPr>
  </w:style>
  <w:style w:type="paragraph" w:styleId="ListContinue5">
    <w:name w:val="List Continue 5"/>
    <w:basedOn w:val="List5"/>
    <w:rsid w:val="00132A45"/>
    <w:pPr>
      <w:ind w:firstLine="0"/>
    </w:pPr>
  </w:style>
  <w:style w:type="paragraph" w:styleId="ListNumber3">
    <w:name w:val="List Number 3"/>
    <w:basedOn w:val="List3"/>
    <w:rsid w:val="00132A45"/>
    <w:pPr>
      <w:numPr>
        <w:numId w:val="5"/>
      </w:numPr>
    </w:pPr>
  </w:style>
  <w:style w:type="paragraph" w:styleId="ListNumber4">
    <w:name w:val="List Number 4"/>
    <w:basedOn w:val="List4"/>
    <w:rsid w:val="00132A45"/>
    <w:pPr>
      <w:numPr>
        <w:numId w:val="6"/>
      </w:numPr>
    </w:pPr>
  </w:style>
  <w:style w:type="paragraph" w:styleId="ListNumber5">
    <w:name w:val="List Number 5"/>
    <w:basedOn w:val="List5"/>
    <w:rsid w:val="00132A45"/>
    <w:pPr>
      <w:numPr>
        <w:numId w:val="7"/>
      </w:numPr>
    </w:pPr>
  </w:style>
  <w:style w:type="paragraph" w:styleId="BlockText">
    <w:name w:val="Block Text"/>
    <w:basedOn w:val="Normal"/>
    <w:rsid w:val="00132A45"/>
    <w:pPr>
      <w:spacing w:after="120"/>
      <w:ind w:left="1440" w:right="1440"/>
    </w:pPr>
  </w:style>
  <w:style w:type="character" w:customStyle="1" w:styleId="Subscript">
    <w:name w:val="Subscript"/>
    <w:basedOn w:val="DefaultParagraphFont"/>
    <w:rsid w:val="00132A45"/>
    <w:rPr>
      <w:sz w:val="16"/>
      <w:vertAlign w:val="subscript"/>
    </w:rPr>
  </w:style>
  <w:style w:type="character" w:customStyle="1" w:styleId="Superscript">
    <w:name w:val="Superscript"/>
    <w:basedOn w:val="DefaultParagraphFont"/>
    <w:rsid w:val="00132A45"/>
    <w:rPr>
      <w:sz w:val="16"/>
      <w:vertAlign w:val="superscript"/>
    </w:rPr>
  </w:style>
  <w:style w:type="character" w:customStyle="1" w:styleId="Symbols">
    <w:name w:val="Symbols"/>
    <w:basedOn w:val="DefaultParagraphFont"/>
    <w:rsid w:val="00132A45"/>
    <w:rPr>
      <w:rFonts w:ascii="Symbol" w:hAnsi="Symbol"/>
    </w:rPr>
  </w:style>
  <w:style w:type="character" w:customStyle="1" w:styleId="MenuOptions">
    <w:name w:val="Menu Options"/>
    <w:basedOn w:val="DefaultParagraphFont"/>
    <w:rsid w:val="00132A45"/>
    <w:rPr>
      <w:rFonts w:ascii="Arial Narrow" w:hAnsi="Arial Narrow"/>
      <w:smallCaps/>
    </w:rPr>
  </w:style>
  <w:style w:type="character" w:customStyle="1" w:styleId="Buttons">
    <w:name w:val="Buttons"/>
    <w:basedOn w:val="DefaultParagraphFont"/>
    <w:rsid w:val="00132A45"/>
    <w:rPr>
      <w:b/>
    </w:rPr>
  </w:style>
  <w:style w:type="character" w:customStyle="1" w:styleId="Underlined">
    <w:name w:val="Underlined"/>
    <w:basedOn w:val="DefaultParagraphFont"/>
    <w:rsid w:val="00132A45"/>
    <w:rPr>
      <w:u w:val="single"/>
    </w:rPr>
  </w:style>
  <w:style w:type="paragraph" w:customStyle="1" w:styleId="TableBodyTextRight">
    <w:name w:val="Table Body Text Right"/>
    <w:basedOn w:val="TableBodyText"/>
    <w:rsid w:val="00132A45"/>
    <w:pPr>
      <w:widowControl w:val="0"/>
      <w:autoSpaceDE w:val="0"/>
      <w:autoSpaceDN w:val="0"/>
      <w:adjustRightInd w:val="0"/>
      <w:jc w:val="right"/>
    </w:pPr>
    <w:rPr>
      <w:rFonts w:cs="Arial"/>
      <w:szCs w:val="18"/>
    </w:rPr>
  </w:style>
  <w:style w:type="paragraph" w:customStyle="1" w:styleId="CopyrightText">
    <w:name w:val="Copyright Text"/>
    <w:basedOn w:val="BodyText"/>
    <w:rsid w:val="00132A45"/>
    <w:rPr>
      <w:sz w:val="18"/>
    </w:rPr>
  </w:style>
  <w:style w:type="paragraph" w:customStyle="1" w:styleId="BodySmallRight">
    <w:name w:val="Body Small Right"/>
    <w:basedOn w:val="BodyTextRight"/>
    <w:rsid w:val="00132A45"/>
    <w:rPr>
      <w:sz w:val="18"/>
      <w:szCs w:val="18"/>
    </w:rPr>
  </w:style>
  <w:style w:type="paragraph" w:customStyle="1" w:styleId="MarginEdition">
    <w:name w:val="Margin Edition"/>
    <w:basedOn w:val="MarginNote"/>
    <w:rsid w:val="00132A45"/>
    <w:pPr>
      <w:spacing w:before="0" w:after="0"/>
    </w:pPr>
    <w:rPr>
      <w:rFonts w:ascii="Times New Roman" w:hAnsi="Times New Roman"/>
      <w:color w:val="999999"/>
    </w:rPr>
  </w:style>
  <w:style w:type="paragraph" w:customStyle="1" w:styleId="Spacer">
    <w:name w:val="Spacer"/>
    <w:basedOn w:val="Normal"/>
    <w:rsid w:val="00132A45"/>
    <w:rPr>
      <w:sz w:val="2"/>
      <w:szCs w:val="2"/>
    </w:rPr>
  </w:style>
  <w:style w:type="character" w:customStyle="1" w:styleId="Small">
    <w:name w:val="Small"/>
    <w:basedOn w:val="DefaultParagraphFont"/>
    <w:rsid w:val="00132A45"/>
    <w:rPr>
      <w:sz w:val="16"/>
    </w:rPr>
  </w:style>
  <w:style w:type="paragraph" w:customStyle="1" w:styleId="WideTable">
    <w:name w:val="Wide Table"/>
    <w:basedOn w:val="Normal"/>
    <w:rsid w:val="00132A45"/>
    <w:pPr>
      <w:ind w:left="-1418"/>
    </w:pPr>
    <w:rPr>
      <w:sz w:val="2"/>
      <w:szCs w:val="2"/>
    </w:rPr>
  </w:style>
  <w:style w:type="character" w:styleId="PageNumber">
    <w:name w:val="page number"/>
    <w:basedOn w:val="DefaultParagraphFont"/>
    <w:rsid w:val="00132A45"/>
  </w:style>
  <w:style w:type="paragraph" w:styleId="Quote">
    <w:name w:val="Quote"/>
    <w:basedOn w:val="Heading1"/>
    <w:link w:val="QuoteChar"/>
    <w:qFormat/>
    <w:rsid w:val="00132A45"/>
    <w:rPr>
      <w:b w:val="0"/>
      <w:sz w:val="72"/>
      <w:szCs w:val="72"/>
      <w:lang w:val="en-NZ"/>
    </w:rPr>
  </w:style>
  <w:style w:type="character" w:customStyle="1" w:styleId="QuoteChar">
    <w:name w:val="Quote Char"/>
    <w:basedOn w:val="DefaultParagraphFont"/>
    <w:link w:val="Quote"/>
    <w:rsid w:val="00132A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2A45"/>
    <w:pPr>
      <w:pageBreakBefore/>
    </w:pPr>
  </w:style>
  <w:style w:type="paragraph" w:customStyle="1" w:styleId="Border">
    <w:name w:val="Border"/>
    <w:basedOn w:val="Normal"/>
    <w:qFormat/>
    <w:rsid w:val="00132A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2A45"/>
    <w:rPr>
      <w:b/>
      <w:bCs/>
      <w:i/>
      <w:iCs/>
      <w:color w:val="auto"/>
    </w:rPr>
  </w:style>
  <w:style w:type="paragraph" w:styleId="IntenseQuote">
    <w:name w:val="Intense Quote"/>
    <w:basedOn w:val="Normal"/>
    <w:next w:val="Normal"/>
    <w:link w:val="IntenseQuoteChar"/>
    <w:uiPriority w:val="30"/>
    <w:qFormat/>
    <w:rsid w:val="00132A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2A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2A45"/>
    <w:rPr>
      <w:smallCaps/>
      <w:color w:val="auto"/>
      <w:u w:val="single"/>
    </w:rPr>
  </w:style>
  <w:style w:type="character" w:styleId="IntenseReference">
    <w:name w:val="Intense Reference"/>
    <w:basedOn w:val="DefaultParagraphFont"/>
    <w:uiPriority w:val="32"/>
    <w:qFormat/>
    <w:rsid w:val="00132A45"/>
    <w:rPr>
      <w:b/>
      <w:bCs/>
      <w:smallCaps/>
      <w:color w:val="auto"/>
      <w:spacing w:val="5"/>
      <w:u w:val="single"/>
    </w:rPr>
  </w:style>
  <w:style w:type="paragraph" w:customStyle="1" w:styleId="2ColumnHeading">
    <w:name w:val="2Column Heading"/>
    <w:basedOn w:val="BodyText"/>
    <w:qFormat/>
    <w:rsid w:val="00132A45"/>
    <w:pPr>
      <w:spacing w:after="60"/>
      <w:ind w:left="-2268"/>
    </w:pPr>
    <w:rPr>
      <w:b/>
    </w:rPr>
  </w:style>
  <w:style w:type="paragraph" w:customStyle="1" w:styleId="Heading1TOC">
    <w:name w:val="Heading1 TOC"/>
    <w:basedOn w:val="Normal"/>
    <w:qFormat/>
    <w:rsid w:val="00132A45"/>
    <w:pPr>
      <w:spacing w:before="240" w:after="120"/>
    </w:pPr>
    <w:rPr>
      <w:rFonts w:ascii="Times New Roman" w:hAnsi="Times New Roman"/>
      <w:b/>
      <w:sz w:val="32"/>
    </w:rPr>
  </w:style>
  <w:style w:type="paragraph" w:customStyle="1" w:styleId="Heading2TOC">
    <w:name w:val="Heading2 TOC"/>
    <w:basedOn w:val="Normal"/>
    <w:qFormat/>
    <w:rsid w:val="00132A45"/>
    <w:pPr>
      <w:spacing w:before="240" w:after="60"/>
    </w:pPr>
    <w:rPr>
      <w:rFonts w:ascii="Times New Roman" w:hAnsi="Times New Roman"/>
      <w:b/>
      <w:sz w:val="28"/>
    </w:rPr>
  </w:style>
  <w:style w:type="character" w:customStyle="1" w:styleId="Underline">
    <w:name w:val="Underline"/>
    <w:basedOn w:val="DefaultParagraphFont"/>
    <w:qFormat/>
    <w:rsid w:val="00132A45"/>
    <w:rPr>
      <w:u w:val="single"/>
    </w:rPr>
  </w:style>
  <w:style w:type="character" w:customStyle="1" w:styleId="BoldandItalics">
    <w:name w:val="Bold and Italics"/>
    <w:qFormat/>
    <w:rsid w:val="00132A45"/>
    <w:rPr>
      <w:b/>
      <w:i/>
      <w:u w:val="none"/>
    </w:rPr>
  </w:style>
  <w:style w:type="paragraph" w:styleId="BalloonText">
    <w:name w:val="Balloon Text"/>
    <w:basedOn w:val="Normal"/>
    <w:link w:val="BalloonTextChar"/>
    <w:rsid w:val="00132A45"/>
    <w:rPr>
      <w:rFonts w:ascii="Tahoma" w:hAnsi="Tahoma" w:cs="Tahoma"/>
      <w:sz w:val="16"/>
      <w:szCs w:val="16"/>
    </w:rPr>
  </w:style>
  <w:style w:type="character" w:customStyle="1" w:styleId="BalloonTextChar">
    <w:name w:val="Balloon Text Char"/>
    <w:basedOn w:val="DefaultParagraphFont"/>
    <w:link w:val="BalloonText"/>
    <w:rsid w:val="00132A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2A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2A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2A45"/>
    <w:rPr>
      <w:b/>
      <w:color w:val="660033"/>
      <w:spacing w:val="0"/>
    </w:rPr>
  </w:style>
  <w:style w:type="paragraph" w:customStyle="1" w:styleId="Nameditemlist">
    <w:name w:val="Named item list"/>
    <w:basedOn w:val="BodyText"/>
    <w:qFormat/>
    <w:rsid w:val="00132A45"/>
    <w:pPr>
      <w:tabs>
        <w:tab w:val="left" w:pos="2835"/>
      </w:tabs>
      <w:ind w:left="2835" w:hanging="2835"/>
    </w:pPr>
  </w:style>
  <w:style w:type="paragraph" w:customStyle="1" w:styleId="BodyTextnopadding">
    <w:name w:val="Body Text no padding"/>
    <w:basedOn w:val="BodyText"/>
    <w:qFormat/>
    <w:rsid w:val="00132A45"/>
    <w:pPr>
      <w:spacing w:before="0" w:after="0"/>
    </w:pPr>
  </w:style>
  <w:style w:type="paragraph" w:customStyle="1" w:styleId="BodyTextBold">
    <w:name w:val="Body Text Bold"/>
    <w:basedOn w:val="BodyText"/>
    <w:qFormat/>
    <w:rsid w:val="00132A45"/>
    <w:rPr>
      <w:b/>
    </w:rPr>
  </w:style>
  <w:style w:type="character" w:styleId="Hyperlink">
    <w:name w:val="Hyperlink"/>
    <w:basedOn w:val="DefaultParagraphFont"/>
    <w:uiPriority w:val="99"/>
    <w:unhideWhenUsed/>
    <w:rsid w:val="00CE0F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1914</Words>
  <Characters>12869</Characters>
  <Application>Microsoft Office Word</Application>
  <DocSecurity>0</DocSecurity>
  <Lines>378</Lines>
  <Paragraphs>197</Paragraphs>
  <ScaleCrop>false</ScaleCrop>
  <Company>Author-it Software Corporation Ltd.</Company>
  <LinksUpToDate>false</LinksUpToDate>
  <CharactersWithSpaces>14586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UETTDRSO34 Control power systems generating plant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2025-03-01T11:49:00Z</dcterms:created>
  <dcterms:modified xsi:type="dcterms:W3CDTF">2025-03-01T11:49:00Z</dcterms:modified>
</cp:coreProperties>
</file>