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172" w:rsidP="00F26172">
      <w:pPr>
        <w:pStyle w:val="Title"/>
      </w:pPr>
      <w:r>
        <w:fldChar w:fldCharType="begin"/>
      </w:r>
      <w:r>
        <w:instrText xml:space="preserve"> TITLE   \* MERGEFORMAT </w:instrText>
      </w:r>
      <w:r>
        <w:fldChar w:fldCharType="separate"/>
      </w:r>
      <w:r>
        <w:t>Assessment Requirements for UETTDRSO34 Control power systems generating plant</w:t>
      </w:r>
      <w:r>
        <w:fldChar w:fldCharType="end"/>
      </w:r>
    </w:p>
    <w:p w:rsidR="00F26172" w:rsidP="00F26172">
      <w:pPr>
        <w:pStyle w:val="Version"/>
        <w:sectPr w:rsidSect="005960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0A0" w:rsidP="005960A0">
      <w:pPr>
        <w:pStyle w:val="SuperHeading"/>
      </w:pPr>
      <w:r w:rsidRPr="005960A0">
        <w:t>Assessment Requirements for UETTDRSO34 Control power systems generating plant</w:t>
      </w:r>
    </w:p>
    <w:p w:rsidR="00000000" w:rsidRPr="005960A0" w:rsidP="005960A0">
      <w:pPr>
        <w:pStyle w:val="Heading1"/>
      </w:pPr>
      <w:bookmarkStart w:id="1" w:name="O_1004825"/>
      <w:bookmarkEnd w:id="1"/>
      <w:r w:rsidRPr="005960A0">
        <w:t>Modification History</w:t>
      </w:r>
    </w:p>
    <w:tbl>
      <w:tblPr>
        <w:tblW w:w="9497" w:type="dxa"/>
        <w:tblLayout w:type="fixed"/>
        <w:tblCellMar>
          <w:left w:w="62" w:type="dxa"/>
          <w:right w:w="62" w:type="dxa"/>
        </w:tblCellMar>
        <w:tblLook w:val="0000"/>
      </w:tblPr>
      <w:tblGrid>
        <w:gridCol w:w="9497"/>
      </w:tblGrid>
      <w:tr w:rsidTr="0059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0A0" w:rsidP="005960A0">
            <w:pPr>
              <w:pStyle w:val="BodyText"/>
            </w:pPr>
            <w:r w:rsidRPr="005960A0">
              <w:t>Release 1. This is the first release of this unit of competency in the UET Transmission, Distribution and Rail Sector Training Package.</w:t>
            </w:r>
          </w:p>
        </w:tc>
      </w:tr>
    </w:tbl>
    <w:p w:rsidR="00000000" w:rsidRPr="005960A0" w:rsidP="005960A0">
      <w:pPr>
        <w:pStyle w:val="NoPaddingFontSize1"/>
      </w:pPr>
    </w:p>
    <w:p w:rsidR="00000000" w:rsidRPr="005960A0" w:rsidP="005960A0">
      <w:pPr>
        <w:pStyle w:val="AllowPageBreak"/>
      </w:pPr>
    </w:p>
    <w:p w:rsidR="00000000" w:rsidRPr="005960A0" w:rsidP="005960A0">
      <w:pPr>
        <w:pStyle w:val="Heading1"/>
      </w:pPr>
      <w:bookmarkStart w:id="2" w:name="O_1004826"/>
      <w:bookmarkEnd w:id="2"/>
      <w:r w:rsidRPr="005960A0">
        <w:t>Performance Evidence</w:t>
      </w:r>
    </w:p>
    <w:tbl>
      <w:tblPr>
        <w:tblW w:w="9497" w:type="dxa"/>
        <w:tblLayout w:type="fixed"/>
        <w:tblCellMar>
          <w:left w:w="62" w:type="dxa"/>
          <w:right w:w="62" w:type="dxa"/>
        </w:tblCellMar>
        <w:tblLook w:val="0000"/>
      </w:tblPr>
      <w:tblGrid>
        <w:gridCol w:w="9497"/>
      </w:tblGrid>
      <w:tr w:rsidTr="0059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60A0">
            <w:pPr>
              <w:pStyle w:val="BodyText"/>
              <w:rPr>
                <w:lang w:val="en-NZ"/>
              </w:rPr>
            </w:pPr>
            <w:r w:rsidRPr="005960A0">
              <w:t xml:space="preserve">Evidence required to demonstrate competence in this unit must be relevant to and satisfy all of the requirements of the elements and performance criteria on at least two separate occasions and include:  </w:t>
            </w:r>
          </w:p>
        </w:tc>
      </w:tr>
      <w:tr w:rsidTr="0059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0A0" w:rsidP="005960A0">
            <w:pPr>
              <w:pStyle w:val="ListBullet"/>
            </w:pPr>
            <w:r w:rsidRPr="005960A0">
              <w:t>applying r</w:t>
            </w:r>
            <w:r w:rsidRPr="005960A0">
              <w:t xml:space="preserve">elevant work health and safety (WHS)/occupational health and safety (OHS) requirements, including the use of risk control measures </w:t>
            </w:r>
          </w:p>
          <w:p w:rsidR="00000000" w:rsidRPr="005960A0" w:rsidP="005960A0">
            <w:pPr>
              <w:pStyle w:val="ListBullet"/>
            </w:pPr>
            <w:r w:rsidRPr="005960A0">
              <w:t>applying sustainable energy principles and practices</w:t>
            </w:r>
          </w:p>
          <w:p w:rsidR="00000000" w:rsidRPr="005960A0" w:rsidP="005960A0">
            <w:pPr>
              <w:pStyle w:val="ListBullet"/>
            </w:pPr>
            <w:r w:rsidRPr="005960A0">
              <w:t>managing an electricity generating plant including all of the following</w:t>
            </w:r>
            <w:r w:rsidRPr="005960A0">
              <w:t>:</w:t>
            </w:r>
          </w:p>
          <w:p w:rsidR="00000000" w:rsidRPr="005960A0" w:rsidP="005960A0">
            <w:pPr>
              <w:pStyle w:val="ListBullet2"/>
            </w:pPr>
            <w:r w:rsidRPr="005960A0">
              <w:t>operating generator and excitation systems</w:t>
            </w:r>
          </w:p>
          <w:p w:rsidR="00000000" w:rsidRPr="005960A0" w:rsidP="005960A0">
            <w:pPr>
              <w:pStyle w:val="ListBullet2"/>
            </w:pPr>
            <w:r w:rsidRPr="005960A0">
              <w:t>controlling and coordinating generation of electrical energy</w:t>
            </w:r>
          </w:p>
          <w:p w:rsidR="00000000" w:rsidRPr="005960A0" w:rsidP="005960A0">
            <w:pPr>
              <w:pStyle w:val="ListBullet2"/>
            </w:pPr>
            <w:r w:rsidRPr="005960A0">
              <w:t>analysing prime mover and alternator faults</w:t>
            </w:r>
          </w:p>
          <w:p w:rsidR="00000000" w:rsidRPr="005960A0" w:rsidP="005960A0">
            <w:pPr>
              <w:pStyle w:val="ListBullet2"/>
            </w:pPr>
            <w:r w:rsidRPr="005960A0">
              <w:t>effectively liaising with operating and regulatory authorities</w:t>
            </w:r>
          </w:p>
          <w:p w:rsidR="00000000" w:rsidRPr="005960A0" w:rsidP="005960A0">
            <w:pPr>
              <w:pStyle w:val="ListBullet2"/>
            </w:pPr>
            <w:r w:rsidRPr="005960A0">
              <w:t>recording events using both written and computerised logging systems</w:t>
            </w:r>
          </w:p>
          <w:p w:rsidR="00000000" w:rsidRPr="005960A0" w:rsidP="005960A0">
            <w:pPr>
              <w:pStyle w:val="ListBullet2"/>
            </w:pPr>
            <w:r w:rsidRPr="005960A0">
              <w:t>documenting/debriefing actions following an event resulting in loss of generation</w:t>
            </w:r>
          </w:p>
          <w:p w:rsidR="00000000" w:rsidRPr="005960A0" w:rsidP="005960A0">
            <w:pPr>
              <w:pStyle w:val="ListBullet"/>
            </w:pPr>
            <w:r w:rsidRPr="005960A0">
              <w:t>dealing with unplanned events on at least one (1) occasion.</w:t>
            </w:r>
          </w:p>
        </w:tc>
      </w:tr>
    </w:tbl>
    <w:p w:rsidR="00000000" w:rsidRPr="005960A0" w:rsidP="005960A0">
      <w:pPr>
        <w:pStyle w:val="NoPaddingFontSize1"/>
      </w:pPr>
    </w:p>
    <w:p w:rsidR="00000000" w:rsidRPr="005960A0" w:rsidP="005960A0">
      <w:pPr>
        <w:pStyle w:val="AllowPageBreak"/>
      </w:pPr>
    </w:p>
    <w:p w:rsidR="00000000" w:rsidRPr="005960A0" w:rsidP="005960A0">
      <w:pPr>
        <w:pStyle w:val="Heading1"/>
      </w:pPr>
      <w:bookmarkStart w:id="3" w:name="O_1004827"/>
      <w:bookmarkEnd w:id="3"/>
      <w:r w:rsidRPr="005960A0">
        <w:t>Knowledge Evidence</w:t>
      </w:r>
    </w:p>
    <w:tbl>
      <w:tblPr>
        <w:tblW w:w="9497" w:type="dxa"/>
        <w:tblLayout w:type="fixed"/>
        <w:tblCellMar>
          <w:left w:w="62" w:type="dxa"/>
          <w:right w:w="62" w:type="dxa"/>
        </w:tblCellMar>
        <w:tblLook w:val="0000"/>
      </w:tblPr>
      <w:tblGrid>
        <w:gridCol w:w="9497"/>
      </w:tblGrid>
      <w:tr w:rsidTr="0059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60A0">
            <w:pPr>
              <w:pStyle w:val="BodyText"/>
              <w:rPr>
                <w:lang w:val="en-NZ"/>
              </w:rPr>
            </w:pPr>
            <w:r w:rsidRPr="005960A0">
              <w:t>Evidence required to demonstrate competence in this unit must be relevant to and satisfy all of the requirements of the elements and performance criteria and include knowledge of:</w:t>
            </w:r>
          </w:p>
        </w:tc>
      </w:tr>
      <w:tr w:rsidTr="0059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0A0" w:rsidP="005960A0">
            <w:pPr>
              <w:pStyle w:val="ListBullet"/>
            </w:pPr>
            <w:r w:rsidRPr="005960A0">
              <w:t>enterprise-specific procedures and work practices relating to generating p</w:t>
            </w:r>
            <w:r w:rsidRPr="005960A0">
              <w:t>lant encompassing:</w:t>
            </w:r>
          </w:p>
          <w:p w:rsidR="00000000" w:rsidRPr="005960A0" w:rsidP="005960A0">
            <w:pPr>
              <w:pStyle w:val="ListBullet2"/>
            </w:pPr>
            <w:r w:rsidRPr="005960A0">
              <w:t>Commonwealth/state/territory and local government legislation, standards, codes, supply authority regulations and/or enterprise requirements applicable to the procedures and work practices relating to generating plant</w:t>
            </w:r>
          </w:p>
          <w:p w:rsidR="00000000" w:rsidRPr="005960A0" w:rsidP="005960A0">
            <w:pPr>
              <w:pStyle w:val="ListBullet2"/>
            </w:pPr>
            <w:r w:rsidRPr="005960A0">
              <w:t>requirements for t</w:t>
            </w:r>
            <w:r w:rsidRPr="005960A0">
              <w:t>he use of operational manuals, system diagrams/plans and drawings</w:t>
            </w:r>
          </w:p>
          <w:p w:rsidR="00000000" w:rsidRPr="005960A0" w:rsidP="005960A0">
            <w:pPr>
              <w:pStyle w:val="ListBullet2"/>
            </w:pPr>
            <w:r w:rsidRPr="005960A0">
              <w:t>identifying and interpreting enterprise operating procedures</w:t>
            </w:r>
          </w:p>
          <w:p w:rsidR="00000000" w:rsidRPr="005960A0" w:rsidP="005960A0">
            <w:pPr>
              <w:pStyle w:val="ListBullet2"/>
            </w:pPr>
            <w:r w:rsidRPr="005960A0">
              <w:t>techniques in applying enterprise operating procedures</w:t>
            </w:r>
          </w:p>
          <w:p w:rsidR="00000000" w:rsidRPr="005960A0" w:rsidP="005960A0">
            <w:pPr>
              <w:pStyle w:val="ListBullet"/>
            </w:pPr>
            <w:r w:rsidRPr="005960A0">
              <w:t>voltage control techniques encompassing:</w:t>
            </w:r>
          </w:p>
          <w:p w:rsidR="00000000" w:rsidRPr="005960A0" w:rsidP="005960A0">
            <w:pPr>
              <w:pStyle w:val="ListBullet2"/>
            </w:pPr>
            <w:r w:rsidRPr="005960A0">
              <w:t>conditions leading to voltage collapse</w:t>
            </w:r>
          </w:p>
          <w:p w:rsidR="00000000" w:rsidRPr="005960A0" w:rsidP="005960A0">
            <w:pPr>
              <w:pStyle w:val="ListBullet2"/>
            </w:pPr>
            <w:r w:rsidRPr="005960A0">
              <w:t>effects on system of high voltage (HV) and low voltage (LV)</w:t>
            </w:r>
          </w:p>
          <w:p w:rsidR="00000000" w:rsidRPr="005960A0" w:rsidP="005960A0">
            <w:pPr>
              <w:pStyle w:val="ListBullet2"/>
            </w:pPr>
            <w:r w:rsidRPr="005960A0">
              <w:t xml:space="preserve">voltage control devices - voltage regulators applied to generators and synchronous phase </w:t>
            </w:r>
            <w:r w:rsidRPr="005960A0">
              <w:t>modifiers; electromagnetic voltage regulators; series and parallel c</w:t>
            </w:r>
            <w:r w:rsidRPr="005960A0">
              <w:t>apacitors; on-load tap changer (OLTC) transformers and static VAR compensators (SVC’s), including saturated reactor compensators, thyristor controlled reactor compensators and combined systems</w:t>
            </w:r>
          </w:p>
          <w:p w:rsidR="00000000" w:rsidRPr="005960A0" w:rsidP="005960A0">
            <w:pPr>
              <w:pStyle w:val="ListBullet2"/>
            </w:pPr>
            <w:r w:rsidRPr="005960A0">
              <w:t>production of harmonics and methods of harmonic control</w:t>
            </w:r>
          </w:p>
          <w:p w:rsidR="00000000" w:rsidRPr="005960A0" w:rsidP="005960A0">
            <w:pPr>
              <w:pStyle w:val="ListBullet2"/>
            </w:pPr>
            <w:r w:rsidRPr="005960A0">
              <w:t>locatio</w:t>
            </w:r>
            <w:r w:rsidRPr="005960A0">
              <w:t>n of voltage control devices within the system</w:t>
            </w:r>
          </w:p>
          <w:p w:rsidR="00000000" w:rsidRPr="005960A0" w:rsidP="005960A0">
            <w:pPr>
              <w:pStyle w:val="ListBullet"/>
            </w:pPr>
            <w:r w:rsidRPr="005960A0">
              <w:t>power flow control encompassing:</w:t>
            </w:r>
          </w:p>
          <w:p w:rsidR="00000000" w:rsidRPr="005960A0" w:rsidP="005960A0">
            <w:pPr>
              <w:pStyle w:val="ListBullet2"/>
            </w:pPr>
            <w:r w:rsidRPr="005960A0">
              <w:t>use of system components to control power flow patterns - base load, spinning reserve, regulating machines, rapid start plant, phase shifting transformers and load shedding</w:t>
            </w:r>
          </w:p>
          <w:p w:rsidR="00000000" w:rsidRPr="005960A0" w:rsidP="005960A0">
            <w:pPr>
              <w:pStyle w:val="ListBullet2"/>
            </w:pPr>
            <w:r w:rsidRPr="005960A0">
              <w:t>p</w:t>
            </w:r>
            <w:r w:rsidRPr="005960A0">
              <w:t>rinciples of automated control</w:t>
            </w:r>
          </w:p>
          <w:p w:rsidR="00000000" w:rsidRPr="005960A0" w:rsidP="005960A0">
            <w:pPr>
              <w:pStyle w:val="ListBullet2"/>
            </w:pPr>
            <w:r w:rsidRPr="005960A0">
              <w:t>synchronising power</w:t>
            </w:r>
          </w:p>
          <w:p w:rsidR="00000000" w:rsidRPr="005960A0" w:rsidP="005960A0">
            <w:pPr>
              <w:pStyle w:val="ListBullet2"/>
            </w:pPr>
            <w:r w:rsidRPr="005960A0">
              <w:t>relationship of power and frequency</w:t>
            </w:r>
          </w:p>
          <w:p w:rsidR="00000000" w:rsidRPr="005960A0" w:rsidP="005960A0">
            <w:pPr>
              <w:pStyle w:val="ListBullet2"/>
            </w:pPr>
            <w:r w:rsidRPr="005960A0">
              <w:t>machine stabilisation techniques</w:t>
            </w:r>
          </w:p>
          <w:p w:rsidR="00000000" w:rsidRPr="005960A0" w:rsidP="005960A0">
            <w:pPr>
              <w:pStyle w:val="ListBullet2"/>
            </w:pPr>
            <w:r w:rsidRPr="005960A0">
              <w:t>system oscillations and stability - damped and undamped oscillation, relationship of fault clearance times and system stability, and cri</w:t>
            </w:r>
            <w:r w:rsidRPr="005960A0">
              <w:t>tical clearance times</w:t>
            </w:r>
          </w:p>
          <w:p w:rsidR="00000000" w:rsidRPr="005960A0" w:rsidP="005960A0">
            <w:pPr>
              <w:pStyle w:val="ListBullet"/>
            </w:pPr>
            <w:r w:rsidRPr="005960A0">
              <w:t>alternators operation and control encompassing:</w:t>
            </w:r>
          </w:p>
          <w:p w:rsidR="00000000" w:rsidRPr="005960A0" w:rsidP="005960A0">
            <w:pPr>
              <w:pStyle w:val="ListBullet2"/>
            </w:pPr>
            <w:r w:rsidRPr="005960A0">
              <w:t>constructional features of alternators - weights, lengths, cooling mediums, cooling systems, prime mover types, prime mover attachment, types of windings and core arrangements</w:t>
            </w:r>
          </w:p>
          <w:p w:rsidR="00000000" w:rsidRPr="005960A0" w:rsidP="005960A0">
            <w:pPr>
              <w:pStyle w:val="ListBullet2"/>
            </w:pPr>
            <w:r w:rsidRPr="005960A0">
              <w:t>principle of operation - induction machines and synchronous machines</w:t>
            </w:r>
          </w:p>
          <w:p w:rsidR="00000000" w:rsidRPr="005960A0" w:rsidP="005960A0">
            <w:pPr>
              <w:pStyle w:val="ListBullet2"/>
            </w:pPr>
            <w:r w:rsidRPr="005960A0">
              <w:t>modes of operation - island and infinite bus operation, running up of prime movers, loading the alternator, requirements for synchronising and methods of synchronising</w:t>
            </w:r>
          </w:p>
          <w:p w:rsidR="00000000" w:rsidRPr="005960A0" w:rsidP="005960A0">
            <w:pPr>
              <w:pStyle w:val="ListBullet2"/>
            </w:pPr>
            <w:r w:rsidRPr="005960A0">
              <w:t>use of reactive cap</w:t>
            </w:r>
            <w:r w:rsidRPr="005960A0">
              <w:t>ability diagram - related diagram types, current circle diagram, performance chart, capability diagram, values represented, per unit representation, and limits representation and meaning</w:t>
            </w:r>
          </w:p>
          <w:p w:rsidR="00000000" w:rsidRPr="005960A0" w:rsidP="005960A0">
            <w:pPr>
              <w:pStyle w:val="ListBullet2"/>
            </w:pPr>
            <w:r w:rsidRPr="005960A0">
              <w:t>automatic voltage regulators (AVR) - need for voltage control, requir</w:t>
            </w:r>
            <w:r w:rsidRPr="005960A0">
              <w:t>ed attributes of an AVR, range, response time, constraints on AVR capability, desirable attributes of an AVR, power consumption, compensation, rotor stabilisation and automatic changeover systems, input and output requirements and components</w:t>
            </w:r>
          </w:p>
          <w:p w:rsidR="00000000" w:rsidRPr="005960A0" w:rsidP="005960A0">
            <w:pPr>
              <w:pStyle w:val="ListBullet2"/>
            </w:pPr>
            <w:r w:rsidRPr="005960A0">
              <w:t>operation on a</w:t>
            </w:r>
            <w:r w:rsidRPr="005960A0">
              <w:t>n infinite bus - definition of infinite bus, power/angle dependence, reactive flow/voltage dependence, power/angle diagram, effect of saliency, transient conditions, practical and theoretical stability limits, voltage dependence of stability, control of re</w:t>
            </w:r>
            <w:r w:rsidRPr="005960A0">
              <w:t>active flow using AVR and generator transformer tap changer</w:t>
            </w:r>
          </w:p>
          <w:p w:rsidR="00000000" w:rsidRPr="005960A0" w:rsidP="005960A0">
            <w:pPr>
              <w:pStyle w:val="ListBullet"/>
            </w:pPr>
            <w:r w:rsidRPr="005960A0">
              <w:t>prime mover principles encompassing:</w:t>
            </w:r>
          </w:p>
          <w:p w:rsidR="00000000" w:rsidRPr="005960A0" w:rsidP="005960A0">
            <w:pPr>
              <w:pStyle w:val="ListBullet2"/>
            </w:pPr>
            <w:r w:rsidRPr="005960A0">
              <w:t>Commonwealth/state/territory and local government legislation, supply authority regulations, standards, codes and/or enterprise requirements applicable to th</w:t>
            </w:r>
            <w:r w:rsidRPr="005960A0">
              <w:t>e prime movers</w:t>
            </w:r>
          </w:p>
          <w:p w:rsidR="00000000" w:rsidRPr="005960A0" w:rsidP="005960A0">
            <w:pPr>
              <w:pStyle w:val="ListBullet2"/>
            </w:pPr>
            <w:r w:rsidRPr="005960A0">
              <w:t>requirements for the use of operational manuals, system diagrams/plans and drawings</w:t>
            </w:r>
          </w:p>
          <w:p w:rsidR="00000000" w:rsidRPr="005960A0" w:rsidP="005960A0">
            <w:pPr>
              <w:pStyle w:val="ListBullet2"/>
            </w:pPr>
            <w:r w:rsidRPr="005960A0">
              <w:t>types, characterizes and applications of energy sources and conversion systems – wind, steam turbine, gas turbine and diesel.</w:t>
            </w:r>
          </w:p>
        </w:tc>
      </w:tr>
    </w:tbl>
    <w:p w:rsidR="00000000" w:rsidRPr="005960A0" w:rsidP="005960A0">
      <w:pPr>
        <w:pStyle w:val="NoPaddingFontSize1"/>
      </w:pPr>
    </w:p>
    <w:p w:rsidR="00000000" w:rsidRPr="005960A0" w:rsidP="005960A0">
      <w:pPr>
        <w:pStyle w:val="AllowPageBreak"/>
      </w:pPr>
    </w:p>
    <w:p w:rsidR="00000000" w:rsidRPr="005960A0" w:rsidP="005960A0">
      <w:pPr>
        <w:pStyle w:val="Heading1"/>
      </w:pPr>
      <w:bookmarkStart w:id="4" w:name="O_1004828"/>
      <w:bookmarkEnd w:id="4"/>
      <w:r w:rsidRPr="005960A0">
        <w:t>Assessment Conditions</w:t>
      </w:r>
    </w:p>
    <w:tbl>
      <w:tblPr>
        <w:tblW w:w="9497" w:type="dxa"/>
        <w:tblLayout w:type="fixed"/>
        <w:tblCellMar>
          <w:left w:w="62" w:type="dxa"/>
          <w:right w:w="62" w:type="dxa"/>
        </w:tblCellMar>
        <w:tblLook w:val="0000"/>
      </w:tblPr>
      <w:tblGrid>
        <w:gridCol w:w="9497"/>
      </w:tblGrid>
      <w:tr w:rsidTr="00596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0A0" w:rsidP="005960A0">
            <w:pPr>
              <w:pStyle w:val="BodyText"/>
            </w:pPr>
            <w:r w:rsidRPr="005960A0">
              <w:t xml:space="preserve">Assessors must hold credentials specified within the Standards for Registered Training </w:t>
            </w:r>
            <w:r w:rsidRPr="005960A0">
              <w:t>Organisations current at the time of assessment.</w:t>
            </w:r>
          </w:p>
          <w:p w:rsidR="00000000" w:rsidRPr="005960A0" w:rsidP="005960A0">
            <w:pPr>
              <w:pStyle w:val="BodyText"/>
            </w:pPr>
            <w:r w:rsidRPr="005960A0">
              <w:t>Assessment must satisfy the Principles of Assessment and Rules of Evidence and all regulatory requ</w:t>
            </w:r>
            <w:r w:rsidRPr="005960A0">
              <w:t>irements included within the Standards for Registered Training Organisations current at the time of assessment.</w:t>
            </w:r>
          </w:p>
          <w:p w:rsidR="00000000" w:rsidRPr="005960A0" w:rsidP="005960A0">
            <w:pPr>
              <w:pStyle w:val="BodyText"/>
            </w:pPr>
            <w:r w:rsidRPr="005960A0">
              <w:t>Assessment must occur in workplace operational situations where it is appropriate to do so; where this is not appropriate, assessment must occur</w:t>
            </w:r>
            <w:r w:rsidRPr="005960A0">
              <w:t xml:space="preserve"> in simulated conditions involving realistic and authentic activities that replicate operational workplace conditions.</w:t>
            </w:r>
          </w:p>
          <w:p w:rsidR="00000000" w:rsidRPr="005960A0" w:rsidP="005960A0">
            <w:pPr>
              <w:pStyle w:val="BodyText"/>
            </w:pPr>
            <w:r w:rsidRPr="005960A0">
              <w:t>Assessment processes and techniques must be appropriate to the language, literacy and numeracy requirements of the work being performed a</w:t>
            </w:r>
            <w:r w:rsidRPr="005960A0">
              <w:t>nd the needs of the candidate.</w:t>
            </w:r>
          </w:p>
          <w:p w:rsidR="00000000" w:rsidRPr="005960A0" w:rsidP="005960A0">
            <w:pPr>
              <w:pStyle w:val="BodyText"/>
            </w:pPr>
            <w:r w:rsidRPr="005960A0">
              <w:t>Resources for assessment must include access to:</w:t>
            </w:r>
          </w:p>
          <w:p w:rsidR="00000000" w:rsidRPr="005960A0" w:rsidP="005960A0">
            <w:pPr>
              <w:pStyle w:val="ListBullet"/>
            </w:pPr>
            <w:r w:rsidRPr="005960A0">
              <w:t>a range of relevant exercises, case studies and/or other simulations</w:t>
            </w:r>
          </w:p>
          <w:p w:rsidR="00000000" w:rsidRPr="005960A0" w:rsidP="005960A0">
            <w:pPr>
              <w:pStyle w:val="ListBullet"/>
            </w:pPr>
            <w:r w:rsidRPr="005960A0">
              <w:t xml:space="preserve">relevant and appropriate materials, tools, facilities, equipment, protection, control, metering and alarm </w:t>
            </w:r>
            <w:r w:rsidRPr="005960A0">
              <w:t>equipment, computerised electrical plant control and monitoring facilities, and personal protective equipment (PPE) currently used in industry</w:t>
            </w:r>
          </w:p>
          <w:p w:rsidR="00000000" w:rsidRPr="005960A0" w:rsidP="005960A0">
            <w:pPr>
              <w:pStyle w:val="ListBullet"/>
            </w:pPr>
            <w:r w:rsidRPr="005960A0">
              <w:t xml:space="preserve">applicable documentation, including workplace procedures, relevant industry standards, equipment specifications, </w:t>
            </w:r>
            <w:r w:rsidRPr="005960A0">
              <w:t>regulations, codes of practice, operational event data, network drawings, crisis management procedures and operation manuals.</w:t>
            </w:r>
          </w:p>
        </w:tc>
      </w:tr>
    </w:tbl>
    <w:p w:rsidR="00000000" w:rsidRPr="005960A0" w:rsidP="005960A0">
      <w:pPr>
        <w:pStyle w:val="NoPaddingFontSize1"/>
      </w:pPr>
    </w:p>
    <w:p w:rsidR="00000000" w:rsidRPr="005960A0" w:rsidP="005960A0">
      <w:pPr>
        <w:pStyle w:val="AllowPageBreak"/>
      </w:pPr>
    </w:p>
    <w:p w:rsidR="00000000" w:rsidRPr="005960A0" w:rsidP="005960A0">
      <w:pPr>
        <w:pStyle w:val="Heading1"/>
      </w:pPr>
      <w:bookmarkStart w:id="5" w:name="O_1004831"/>
      <w:bookmarkEnd w:id="5"/>
      <w:r w:rsidRPr="005960A0">
        <w:t>Links</w:t>
      </w:r>
    </w:p>
    <w:p w:rsidR="00000000" w:rsidRPr="005960A0" w:rsidP="00F26172">
      <w:pPr>
        <w:pStyle w:val="BodyText"/>
      </w:pPr>
      <w:r w:rsidRPr="005960A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E2567">
        <w:rPr>
          <w:rStyle w:val="Hyperlink"/>
        </w:rPr>
        <w:t>https://vetnet.gov.au/Pages/TrainingDocs.aspx?q=229bace1-b7bc-4653-9300-dffb13ecfad7</w:t>
      </w:r>
      <w:r>
        <w:fldChar w:fldCharType="end"/>
      </w:r>
    </w:p>
    <w:p w:rsidR="00000000" w:rsidRPr="005960A0" w:rsidP="005960A0"/>
    <w:sectPr w:rsidSect="005960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A0" w:rsidRPr="00F26172" w:rsidP="00F26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2" w:rsidP="00596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6172" w:rsidP="005960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6172" w:rsidP="00596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0A0" w:rsidRPr="00F26172" w:rsidP="00F26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2" w:rsidRPr="002D2AF8" w:rsidP="005960A0">
    <w:pPr>
      <w:pStyle w:val="Header"/>
      <w:framePr w:wrap="around"/>
    </w:pPr>
    <w:r>
      <w:fldChar w:fldCharType="begin"/>
    </w:r>
    <w:r>
      <w:instrText xml:space="preserve"> TITLE   \* MERGEFORMAT </w:instrText>
    </w:r>
    <w:r>
      <w:fldChar w:fldCharType="separate"/>
    </w:r>
    <w:r>
      <w:t>Assessment Requirements for UETTDRSO34 Control power systems generating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F26172" w:rsidP="00596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424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68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B60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0A0"/>
    <w:pPr>
      <w:spacing w:before="360" w:after="60"/>
      <w:outlineLvl w:val="0"/>
    </w:pPr>
    <w:rPr>
      <w:sz w:val="32"/>
    </w:rPr>
  </w:style>
  <w:style w:type="paragraph" w:styleId="Heading2">
    <w:name w:val="heading 2"/>
    <w:basedOn w:val="HeadingBase"/>
    <w:next w:val="BodyText"/>
    <w:link w:val="Heading2Char"/>
    <w:qFormat/>
    <w:rsid w:val="005960A0"/>
    <w:pPr>
      <w:keepLines/>
      <w:spacing w:before="240" w:after="120"/>
      <w:outlineLvl w:val="1"/>
    </w:pPr>
    <w:rPr>
      <w:sz w:val="28"/>
      <w:szCs w:val="40"/>
    </w:rPr>
  </w:style>
  <w:style w:type="paragraph" w:styleId="Heading3">
    <w:name w:val="heading 3"/>
    <w:basedOn w:val="HeadingBase"/>
    <w:next w:val="BodyText"/>
    <w:link w:val="Heading3Char"/>
    <w:qFormat/>
    <w:rsid w:val="005960A0"/>
    <w:pPr>
      <w:spacing w:before="180" w:after="120"/>
      <w:outlineLvl w:val="2"/>
    </w:pPr>
    <w:rPr>
      <w:spacing w:val="-10"/>
      <w:kern w:val="32"/>
    </w:rPr>
  </w:style>
  <w:style w:type="paragraph" w:styleId="Heading4">
    <w:name w:val="heading 4"/>
    <w:basedOn w:val="HeadingBase"/>
    <w:next w:val="BodyText"/>
    <w:link w:val="Heading4Char"/>
    <w:qFormat/>
    <w:rsid w:val="005960A0"/>
    <w:pPr>
      <w:spacing w:before="160" w:after="120"/>
      <w:outlineLvl w:val="3"/>
    </w:pPr>
    <w:rPr>
      <w:sz w:val="22"/>
    </w:rPr>
  </w:style>
  <w:style w:type="paragraph" w:styleId="Heading5">
    <w:name w:val="heading 5"/>
    <w:basedOn w:val="HeadingBase"/>
    <w:next w:val="Normal"/>
    <w:link w:val="Heading5Char"/>
    <w:qFormat/>
    <w:rsid w:val="005960A0"/>
    <w:pPr>
      <w:spacing w:before="80"/>
      <w:outlineLvl w:val="4"/>
    </w:pPr>
    <w:rPr>
      <w:color w:val="918585"/>
      <w:sz w:val="20"/>
    </w:rPr>
  </w:style>
  <w:style w:type="paragraph" w:styleId="Heading6">
    <w:name w:val="heading 6"/>
    <w:basedOn w:val="HeadingBase"/>
    <w:next w:val="Normal"/>
    <w:link w:val="Heading6Char"/>
    <w:qFormat/>
    <w:rsid w:val="005960A0"/>
    <w:pPr>
      <w:spacing w:before="60"/>
      <w:outlineLvl w:val="5"/>
    </w:pPr>
    <w:rPr>
      <w:color w:val="918585"/>
      <w:sz w:val="20"/>
    </w:rPr>
  </w:style>
  <w:style w:type="paragraph" w:styleId="Heading7">
    <w:name w:val="heading 7"/>
    <w:basedOn w:val="Normal"/>
    <w:next w:val="Normal"/>
    <w:link w:val="Heading7Char"/>
    <w:qFormat/>
    <w:rsid w:val="005960A0"/>
    <w:pPr>
      <w:ind w:left="720"/>
      <w:outlineLvl w:val="6"/>
    </w:pPr>
    <w:rPr>
      <w:i/>
    </w:rPr>
  </w:style>
  <w:style w:type="paragraph" w:styleId="Heading8">
    <w:name w:val="heading 8"/>
    <w:basedOn w:val="Normal"/>
    <w:next w:val="Normal"/>
    <w:link w:val="Heading8Char"/>
    <w:qFormat/>
    <w:rsid w:val="005960A0"/>
    <w:pPr>
      <w:ind w:left="720"/>
      <w:outlineLvl w:val="7"/>
    </w:pPr>
    <w:rPr>
      <w:i/>
    </w:rPr>
  </w:style>
  <w:style w:type="paragraph" w:styleId="Heading9">
    <w:name w:val="heading 9"/>
    <w:basedOn w:val="Normal"/>
    <w:next w:val="Normal"/>
    <w:link w:val="Heading9Char"/>
    <w:qFormat/>
    <w:rsid w:val="005960A0"/>
    <w:pPr>
      <w:ind w:left="720"/>
      <w:outlineLvl w:val="8"/>
    </w:pPr>
    <w:rPr>
      <w:i/>
    </w:rPr>
  </w:style>
  <w:style w:type="character" w:default="1" w:styleId="DefaultParagraphFont">
    <w:name w:val="Default Paragraph Font"/>
    <w:uiPriority w:val="1"/>
    <w:unhideWhenUsed/>
    <w:rsid w:val="00596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0A0"/>
  </w:style>
  <w:style w:type="character" w:customStyle="1" w:styleId="Heading1Char">
    <w:name w:val="Heading 1 Char"/>
    <w:basedOn w:val="DefaultParagraphFont"/>
    <w:link w:val="Heading1"/>
    <w:rsid w:val="005960A0"/>
    <w:rPr>
      <w:rFonts w:ascii="Times New Roman" w:eastAsia="Times New Roman" w:hAnsi="Times New Roman" w:cs="Times New Roman"/>
      <w:b/>
      <w:sz w:val="32"/>
      <w:szCs w:val="20"/>
      <w:lang w:eastAsia="en-US"/>
    </w:rPr>
  </w:style>
  <w:style w:type="paragraph" w:styleId="BodyText">
    <w:name w:val="Body Text"/>
    <w:basedOn w:val="Normal"/>
    <w:link w:val="BodyTextChar"/>
    <w:rsid w:val="00596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0A0"/>
    <w:rPr>
      <w:rFonts w:ascii="Times New Roman" w:eastAsia="Times New Roman" w:hAnsi="Times New Roman" w:cs="Times New Roman"/>
      <w:sz w:val="24"/>
      <w:lang w:eastAsia="en-US"/>
    </w:rPr>
  </w:style>
  <w:style w:type="paragraph" w:styleId="ListBullet">
    <w:name w:val="List Bullet"/>
    <w:basedOn w:val="List"/>
    <w:rsid w:val="005960A0"/>
    <w:pPr>
      <w:numPr>
        <w:numId w:val="12"/>
      </w:numPr>
      <w:tabs>
        <w:tab w:val="clear" w:pos="340"/>
      </w:tabs>
      <w:spacing w:before="40" w:after="40"/>
    </w:pPr>
  </w:style>
  <w:style w:type="paragraph" w:styleId="ListBullet2">
    <w:name w:val="List Bullet 2"/>
    <w:basedOn w:val="List2"/>
    <w:rsid w:val="005960A0"/>
    <w:pPr>
      <w:numPr>
        <w:numId w:val="13"/>
      </w:numPr>
      <w:tabs>
        <w:tab w:val="clear" w:pos="680"/>
      </w:tabs>
    </w:pPr>
  </w:style>
  <w:style w:type="paragraph" w:customStyle="1" w:styleId="SuperHeading">
    <w:name w:val="SuperHeading"/>
    <w:basedOn w:val="Normal"/>
    <w:rsid w:val="005960A0"/>
    <w:pPr>
      <w:spacing w:before="240" w:after="120"/>
      <w:outlineLvl w:val="0"/>
    </w:pPr>
    <w:rPr>
      <w:rFonts w:ascii="Times New Roman" w:hAnsi="Times New Roman"/>
      <w:b/>
      <w:sz w:val="32"/>
    </w:rPr>
  </w:style>
  <w:style w:type="paragraph" w:customStyle="1" w:styleId="AllowPageBreak">
    <w:name w:val="AllowPageBreak"/>
    <w:rsid w:val="005960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6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0A0"/>
    <w:rPr>
      <w:rFonts w:ascii="Courier New" w:eastAsia="Times New Roman" w:hAnsi="Courier New" w:cs="Times New Roman"/>
      <w:i/>
      <w:szCs w:val="20"/>
      <w:lang w:eastAsia="en-US"/>
    </w:rPr>
  </w:style>
  <w:style w:type="paragraph" w:customStyle="1" w:styleId="HeadingBase">
    <w:name w:val="Heading Base"/>
    <w:rsid w:val="00596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0A0"/>
    <w:pPr>
      <w:tabs>
        <w:tab w:val="right" w:leader="dot" w:pos="9072"/>
      </w:tabs>
      <w:ind w:left="567"/>
    </w:pPr>
    <w:rPr>
      <w:szCs w:val="22"/>
    </w:rPr>
  </w:style>
  <w:style w:type="paragraph" w:customStyle="1" w:styleId="TOCBase">
    <w:name w:val="TOC Base"/>
    <w:rsid w:val="00596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0A0"/>
    <w:pPr>
      <w:tabs>
        <w:tab w:val="right" w:leader="dot" w:pos="9072"/>
      </w:tabs>
      <w:spacing w:before="40" w:after="40"/>
      <w:ind w:left="284"/>
    </w:pPr>
    <w:rPr>
      <w:rFonts w:ascii="Times New Roman" w:hAnsi="Times New Roman"/>
    </w:rPr>
  </w:style>
  <w:style w:type="paragraph" w:styleId="TOC1">
    <w:name w:val="toc 1"/>
    <w:basedOn w:val="TOCBase"/>
    <w:next w:val="Normal"/>
    <w:rsid w:val="00596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0A0"/>
    <w:rPr>
      <w:rFonts w:ascii="Times New Roman" w:eastAsia="Times New Roman" w:hAnsi="Times New Roman" w:cs="Times New Roman"/>
      <w:sz w:val="16"/>
      <w:lang w:eastAsia="en-US"/>
    </w:rPr>
  </w:style>
  <w:style w:type="paragraph" w:styleId="Title">
    <w:name w:val="Title"/>
    <w:basedOn w:val="HeadingBase"/>
    <w:link w:val="TitleChar"/>
    <w:qFormat/>
    <w:rsid w:val="005960A0"/>
    <w:pPr>
      <w:spacing w:before="5040"/>
      <w:jc w:val="center"/>
    </w:pPr>
    <w:rPr>
      <w:sz w:val="48"/>
      <w:szCs w:val="72"/>
      <w:lang w:val="en-US"/>
    </w:rPr>
  </w:style>
  <w:style w:type="character" w:customStyle="1" w:styleId="TitleChar">
    <w:name w:val="Title Char"/>
    <w:basedOn w:val="DefaultParagraphFont"/>
    <w:link w:val="Title"/>
    <w:rsid w:val="00596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0A0"/>
    <w:pPr>
      <w:tabs>
        <w:tab w:val="left" w:pos="3600"/>
        <w:tab w:val="left" w:pos="3958"/>
      </w:tabs>
    </w:pPr>
  </w:style>
  <w:style w:type="paragraph" w:styleId="List">
    <w:name w:val="List"/>
    <w:basedOn w:val="BodyText"/>
    <w:next w:val="BodyText"/>
    <w:rsid w:val="005960A0"/>
    <w:pPr>
      <w:tabs>
        <w:tab w:val="left" w:pos="340"/>
      </w:tabs>
      <w:spacing w:before="60" w:after="60"/>
      <w:ind w:left="340" w:hanging="340"/>
    </w:pPr>
  </w:style>
  <w:style w:type="paragraph" w:customStyle="1" w:styleId="Note">
    <w:name w:val="Note"/>
    <w:basedOn w:val="BodyText"/>
    <w:rsid w:val="005960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60A0"/>
    <w:rPr>
      <w:b/>
      <w:spacing w:val="0"/>
    </w:rPr>
  </w:style>
  <w:style w:type="paragraph" w:customStyle="1" w:styleId="SuperTitle">
    <w:name w:val="SuperTitle"/>
    <w:basedOn w:val="Title"/>
    <w:rsid w:val="005960A0"/>
    <w:pPr>
      <w:framePr w:wrap="auto" w:hAnchor="text" w:y="6049"/>
    </w:pPr>
    <w:rPr>
      <w:color w:val="000000"/>
      <w:sz w:val="40"/>
    </w:rPr>
  </w:style>
  <w:style w:type="paragraph" w:customStyle="1" w:styleId="TOCTitle">
    <w:name w:val="TOCTitle"/>
    <w:basedOn w:val="Heading1"/>
    <w:rsid w:val="005960A0"/>
    <w:pPr>
      <w:spacing w:after="240"/>
      <w:jc w:val="center"/>
      <w:outlineLvl w:val="9"/>
    </w:pPr>
    <w:rPr>
      <w:caps/>
    </w:rPr>
  </w:style>
  <w:style w:type="paragraph" w:customStyle="1" w:styleId="Version">
    <w:name w:val="Version"/>
    <w:rsid w:val="00596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0A0"/>
    <w:pPr>
      <w:keepNext w:val="0"/>
      <w:tabs>
        <w:tab w:val="right" w:pos="4176"/>
      </w:tabs>
      <w:ind w:left="198" w:hanging="198"/>
    </w:pPr>
    <w:rPr>
      <w:rFonts w:ascii="Garamond" w:hAnsi="Garamond"/>
    </w:rPr>
  </w:style>
  <w:style w:type="paragraph" w:styleId="IndexHeading">
    <w:name w:val="index heading"/>
    <w:basedOn w:val="Normal"/>
    <w:next w:val="Index1"/>
    <w:semiHidden/>
    <w:rsid w:val="005960A0"/>
    <w:pPr>
      <w:spacing w:before="120" w:after="120"/>
    </w:pPr>
    <w:rPr>
      <w:rFonts w:ascii="Arial" w:hAnsi="Arial"/>
      <w:b/>
      <w:color w:val="918585"/>
      <w:sz w:val="24"/>
    </w:rPr>
  </w:style>
  <w:style w:type="paragraph" w:styleId="Header">
    <w:name w:val="header"/>
    <w:basedOn w:val="Normal"/>
    <w:link w:val="HeaderChar"/>
    <w:rsid w:val="00596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0A0"/>
    <w:rPr>
      <w:rFonts w:ascii="Times New Roman" w:eastAsia="Times New Roman" w:hAnsi="Times New Roman" w:cs="Times New Roman"/>
      <w:sz w:val="16"/>
      <w:szCs w:val="20"/>
      <w:lang w:val="en-GB" w:eastAsia="en-US"/>
    </w:rPr>
  </w:style>
  <w:style w:type="paragraph" w:customStyle="1" w:styleId="Chapter">
    <w:name w:val="Chapter"/>
    <w:basedOn w:val="Normal"/>
    <w:rsid w:val="005960A0"/>
    <w:pPr>
      <w:spacing w:before="240"/>
    </w:pPr>
    <w:rPr>
      <w:rFonts w:ascii="Times New Roman" w:hAnsi="Times New Roman"/>
      <w:smallCaps/>
      <w:spacing w:val="80"/>
      <w:sz w:val="28"/>
    </w:rPr>
  </w:style>
  <w:style w:type="paragraph" w:customStyle="1" w:styleId="InChapter">
    <w:name w:val="InChapter"/>
    <w:basedOn w:val="Heading3"/>
    <w:rsid w:val="005960A0"/>
    <w:pPr>
      <w:spacing w:after="240"/>
      <w:outlineLvl w:val="9"/>
    </w:pPr>
    <w:rPr>
      <w:noProof/>
    </w:rPr>
  </w:style>
  <w:style w:type="paragraph" w:styleId="Index2">
    <w:name w:val="index 2"/>
    <w:basedOn w:val="Normal"/>
    <w:next w:val="Normal"/>
    <w:semiHidden/>
    <w:rsid w:val="005960A0"/>
    <w:pPr>
      <w:tabs>
        <w:tab w:val="right" w:pos="4176"/>
      </w:tabs>
      <w:ind w:left="568" w:hanging="284"/>
    </w:pPr>
    <w:rPr>
      <w:rFonts w:ascii="Garamond" w:hAnsi="Garamond"/>
    </w:rPr>
  </w:style>
  <w:style w:type="paragraph" w:customStyle="1" w:styleId="Byline">
    <w:name w:val="Byline"/>
    <w:rsid w:val="00596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0A0"/>
    <w:pPr>
      <w:tabs>
        <w:tab w:val="clear" w:pos="3600"/>
        <w:tab w:val="clear" w:pos="3958"/>
      </w:tabs>
      <w:jc w:val="right"/>
    </w:pPr>
  </w:style>
  <w:style w:type="character" w:styleId="Emphasis">
    <w:name w:val="Emphasis"/>
    <w:basedOn w:val="DefaultParagraphFont"/>
    <w:qFormat/>
    <w:rsid w:val="005960A0"/>
    <w:rPr>
      <w:i/>
    </w:rPr>
  </w:style>
  <w:style w:type="paragraph" w:styleId="Caption">
    <w:name w:val="caption"/>
    <w:basedOn w:val="BodyText"/>
    <w:next w:val="Normal"/>
    <w:qFormat/>
    <w:rsid w:val="005960A0"/>
    <w:pPr>
      <w:framePr w:w="2268" w:hSpace="181" w:vSpace="181" w:wrap="around" w:vAnchor="text" w:hAnchor="page" w:x="1135" w:y="285" w:anchorLock="1"/>
    </w:pPr>
    <w:rPr>
      <w:i/>
    </w:rPr>
  </w:style>
  <w:style w:type="paragraph" w:customStyle="1" w:styleId="MiniTOCTitle">
    <w:name w:val="MiniTOCTitle"/>
    <w:basedOn w:val="Heading4"/>
    <w:rsid w:val="005960A0"/>
    <w:pPr>
      <w:spacing w:before="240"/>
      <w:outlineLvl w:val="9"/>
    </w:pPr>
    <w:rPr>
      <w:noProof/>
      <w:sz w:val="24"/>
    </w:rPr>
  </w:style>
  <w:style w:type="paragraph" w:customStyle="1" w:styleId="MiniTOCItem">
    <w:name w:val="MiniTOCItem"/>
    <w:basedOn w:val="ListBullet"/>
    <w:rsid w:val="005960A0"/>
    <w:pPr>
      <w:numPr>
        <w:numId w:val="0"/>
      </w:numPr>
      <w:tabs>
        <w:tab w:val="right" w:leader="dot" w:pos="6521"/>
      </w:tabs>
      <w:spacing w:before="0" w:after="0"/>
    </w:pPr>
  </w:style>
  <w:style w:type="paragraph" w:customStyle="1" w:styleId="TOFTitle">
    <w:name w:val="TOFTitle"/>
    <w:basedOn w:val="TOCTitle"/>
    <w:rsid w:val="005960A0"/>
  </w:style>
  <w:style w:type="paragraph" w:styleId="TableofFigures">
    <w:name w:val="table of figures"/>
    <w:basedOn w:val="Normal"/>
    <w:next w:val="Normal"/>
    <w:semiHidden/>
    <w:rsid w:val="005960A0"/>
    <w:pPr>
      <w:tabs>
        <w:tab w:val="right" w:leader="dot" w:pos="9072"/>
      </w:tabs>
      <w:ind w:left="970" w:hanging="403"/>
    </w:pPr>
    <w:rPr>
      <w:rFonts w:ascii="Times New Roman" w:hAnsi="Times New Roman"/>
      <w:b/>
    </w:rPr>
  </w:style>
  <w:style w:type="paragraph" w:styleId="ListNumber">
    <w:name w:val="List Number"/>
    <w:basedOn w:val="List"/>
    <w:rsid w:val="005960A0"/>
    <w:pPr>
      <w:numPr>
        <w:numId w:val="15"/>
      </w:numPr>
      <w:tabs>
        <w:tab w:val="clear" w:pos="340"/>
      </w:tabs>
    </w:pPr>
  </w:style>
  <w:style w:type="character" w:customStyle="1" w:styleId="WingdingSymbols">
    <w:name w:val="Wingding Symbols"/>
    <w:rsid w:val="005960A0"/>
    <w:rPr>
      <w:rFonts w:ascii="Wingdings" w:hAnsi="Wingdings"/>
    </w:rPr>
  </w:style>
  <w:style w:type="paragraph" w:customStyle="1" w:styleId="TableHeading">
    <w:name w:val="Table Heading"/>
    <w:basedOn w:val="HeadingBase"/>
    <w:rsid w:val="005960A0"/>
    <w:pPr>
      <w:keepLines/>
      <w:pBdr>
        <w:bottom w:val="single" w:sz="6" w:space="1" w:color="918585"/>
      </w:pBdr>
      <w:spacing w:before="240"/>
    </w:pPr>
  </w:style>
  <w:style w:type="character" w:customStyle="1" w:styleId="HotSpot">
    <w:name w:val="HotSpot"/>
    <w:rsid w:val="005960A0"/>
    <w:rPr>
      <w:color w:val="0033CC"/>
      <w:u w:val="none"/>
    </w:rPr>
  </w:style>
  <w:style w:type="paragraph" w:customStyle="1" w:styleId="BodyTextRight">
    <w:name w:val="Body Text Right"/>
    <w:basedOn w:val="BodyText"/>
    <w:rsid w:val="005960A0"/>
    <w:pPr>
      <w:spacing w:before="0" w:after="0"/>
      <w:jc w:val="right"/>
    </w:pPr>
  </w:style>
  <w:style w:type="paragraph" w:styleId="Index3">
    <w:name w:val="index 3"/>
    <w:basedOn w:val="ListNumber2"/>
    <w:next w:val="Normal"/>
    <w:semiHidden/>
    <w:rsid w:val="005960A0"/>
    <w:pPr>
      <w:numPr>
        <w:numId w:val="0"/>
      </w:numPr>
      <w:tabs>
        <w:tab w:val="right" w:leader="dot" w:pos="4176"/>
      </w:tabs>
    </w:pPr>
  </w:style>
  <w:style w:type="paragraph" w:styleId="ListNumber2">
    <w:name w:val="List Number 2"/>
    <w:basedOn w:val="List2"/>
    <w:rsid w:val="005960A0"/>
    <w:pPr>
      <w:numPr>
        <w:numId w:val="10"/>
      </w:numPr>
      <w:tabs>
        <w:tab w:val="clear" w:pos="1060"/>
      </w:tabs>
    </w:pPr>
  </w:style>
  <w:style w:type="paragraph" w:customStyle="1" w:styleId="MarginNote">
    <w:name w:val="Margin Note"/>
    <w:basedOn w:val="BodyText"/>
    <w:rsid w:val="00596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0A0"/>
    <w:rPr>
      <w:sz w:val="32"/>
    </w:rPr>
  </w:style>
  <w:style w:type="paragraph" w:customStyle="1" w:styleId="HeadingProcedure">
    <w:name w:val="Heading Procedure"/>
    <w:basedOn w:val="HeadingBase"/>
    <w:next w:val="Normal"/>
    <w:rsid w:val="005960A0"/>
    <w:pPr>
      <w:tabs>
        <w:tab w:val="left" w:pos="0"/>
      </w:tabs>
      <w:spacing w:before="120" w:after="60"/>
    </w:pPr>
    <w:rPr>
      <w:i/>
      <w:color w:val="918585"/>
      <w:sz w:val="22"/>
    </w:rPr>
  </w:style>
  <w:style w:type="paragraph" w:customStyle="1" w:styleId="TableBodyText">
    <w:name w:val="Table Body Text"/>
    <w:basedOn w:val="BodyText"/>
    <w:rsid w:val="005960A0"/>
    <w:pPr>
      <w:spacing w:before="60" w:after="60"/>
    </w:pPr>
  </w:style>
  <w:style w:type="paragraph" w:styleId="ListContinue">
    <w:name w:val="List Continue"/>
    <w:basedOn w:val="List"/>
    <w:rsid w:val="005960A0"/>
    <w:pPr>
      <w:ind w:firstLine="0"/>
    </w:pPr>
  </w:style>
  <w:style w:type="paragraph" w:customStyle="1" w:styleId="ListNote">
    <w:name w:val="List Note"/>
    <w:basedOn w:val="List"/>
    <w:rsid w:val="005960A0"/>
    <w:pPr>
      <w:pBdr>
        <w:top w:val="single" w:sz="6" w:space="2" w:color="918585"/>
        <w:bottom w:val="single" w:sz="6" w:space="2" w:color="918585"/>
      </w:pBdr>
      <w:tabs>
        <w:tab w:val="left" w:pos="1021"/>
      </w:tabs>
      <w:ind w:firstLine="0"/>
    </w:pPr>
  </w:style>
  <w:style w:type="paragraph" w:customStyle="1" w:styleId="Warning">
    <w:name w:val="Warning"/>
    <w:basedOn w:val="BodyText"/>
    <w:rsid w:val="005960A0"/>
    <w:pPr>
      <w:shd w:val="clear" w:color="auto" w:fill="D9D9D9"/>
      <w:tabs>
        <w:tab w:val="left" w:pos="992"/>
      </w:tabs>
      <w:ind w:left="119" w:right="119"/>
    </w:pPr>
    <w:rPr>
      <w:sz w:val="20"/>
    </w:rPr>
  </w:style>
  <w:style w:type="paragraph" w:customStyle="1" w:styleId="MarginIcons">
    <w:name w:val="Margin Icons"/>
    <w:basedOn w:val="BodyText"/>
    <w:rsid w:val="00596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0A0"/>
    <w:rPr>
      <w:rFonts w:ascii="Courier New" w:hAnsi="Courier New"/>
    </w:rPr>
  </w:style>
  <w:style w:type="paragraph" w:customStyle="1" w:styleId="NoteBullet">
    <w:name w:val="Note Bullet"/>
    <w:basedOn w:val="Note"/>
    <w:rsid w:val="005960A0"/>
    <w:pPr>
      <w:tabs>
        <w:tab w:val="clear" w:pos="680"/>
      </w:tabs>
      <w:spacing w:before="60" w:after="60"/>
    </w:pPr>
  </w:style>
  <w:style w:type="paragraph" w:customStyle="1" w:styleId="SubHeading2">
    <w:name w:val="SubHeading2"/>
    <w:basedOn w:val="HeadingBase"/>
    <w:rsid w:val="005960A0"/>
    <w:pPr>
      <w:spacing w:before="240" w:after="60"/>
    </w:pPr>
    <w:rPr>
      <w:sz w:val="20"/>
    </w:rPr>
  </w:style>
  <w:style w:type="paragraph" w:customStyle="1" w:styleId="SubHeading1">
    <w:name w:val="SubHeading1"/>
    <w:basedOn w:val="HeadingBase"/>
    <w:rsid w:val="005960A0"/>
    <w:pPr>
      <w:spacing w:before="240" w:after="60"/>
    </w:pPr>
    <w:rPr>
      <w:color w:val="918585"/>
      <w:sz w:val="22"/>
    </w:rPr>
  </w:style>
  <w:style w:type="paragraph" w:customStyle="1" w:styleId="SideHeading">
    <w:name w:val="Side Heading"/>
    <w:basedOn w:val="HeadingBase"/>
    <w:rsid w:val="00596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0A0"/>
    <w:pPr>
      <w:tabs>
        <w:tab w:val="num" w:pos="360"/>
      </w:tabs>
    </w:pPr>
  </w:style>
  <w:style w:type="paragraph" w:styleId="PlainText">
    <w:name w:val="Plain Text"/>
    <w:basedOn w:val="Normal"/>
    <w:link w:val="PlainTextChar"/>
    <w:rsid w:val="005960A0"/>
    <w:rPr>
      <w:sz w:val="20"/>
    </w:rPr>
  </w:style>
  <w:style w:type="character" w:customStyle="1" w:styleId="PlainTextChar">
    <w:name w:val="Plain Text Char"/>
    <w:basedOn w:val="DefaultParagraphFont"/>
    <w:link w:val="PlainText"/>
    <w:rsid w:val="005960A0"/>
    <w:rPr>
      <w:rFonts w:ascii="Courier New" w:eastAsia="Times New Roman" w:hAnsi="Courier New" w:cs="Times New Roman"/>
      <w:sz w:val="20"/>
      <w:szCs w:val="20"/>
      <w:lang w:eastAsia="en-US"/>
    </w:rPr>
  </w:style>
  <w:style w:type="character" w:customStyle="1" w:styleId="MenuOption">
    <w:name w:val="Menu Option"/>
    <w:basedOn w:val="DefaultParagraphFont"/>
    <w:rsid w:val="005960A0"/>
    <w:rPr>
      <w:b/>
      <w:smallCaps/>
    </w:rPr>
  </w:style>
  <w:style w:type="paragraph" w:customStyle="1" w:styleId="TableListNumber">
    <w:name w:val="Table List Number"/>
    <w:basedOn w:val="ListNumber"/>
    <w:rsid w:val="005960A0"/>
    <w:pPr>
      <w:numPr>
        <w:numId w:val="0"/>
      </w:numPr>
    </w:pPr>
  </w:style>
  <w:style w:type="paragraph" w:styleId="TOC4">
    <w:name w:val="toc 4"/>
    <w:basedOn w:val="TOCBase"/>
    <w:next w:val="Normal"/>
    <w:semiHidden/>
    <w:rsid w:val="005960A0"/>
    <w:pPr>
      <w:tabs>
        <w:tab w:val="right" w:leader="dot" w:pos="9071"/>
      </w:tabs>
      <w:ind w:left="1701"/>
    </w:pPr>
  </w:style>
  <w:style w:type="paragraph" w:customStyle="1" w:styleId="ListAlpha">
    <w:name w:val="List Alpha"/>
    <w:basedOn w:val="List"/>
    <w:rsid w:val="005960A0"/>
    <w:pPr>
      <w:numPr>
        <w:numId w:val="9"/>
      </w:numPr>
    </w:pPr>
  </w:style>
  <w:style w:type="paragraph" w:customStyle="1" w:styleId="ListAlpha2">
    <w:name w:val="List Alpha 2"/>
    <w:basedOn w:val="List2"/>
    <w:rsid w:val="005960A0"/>
    <w:pPr>
      <w:numPr>
        <w:numId w:val="8"/>
      </w:numPr>
    </w:pPr>
  </w:style>
  <w:style w:type="paragraph" w:styleId="List2">
    <w:name w:val="List 2"/>
    <w:basedOn w:val="BodyText"/>
    <w:rsid w:val="005960A0"/>
    <w:pPr>
      <w:tabs>
        <w:tab w:val="left" w:pos="680"/>
      </w:tabs>
      <w:spacing w:before="60" w:after="60"/>
      <w:ind w:left="680" w:hanging="340"/>
    </w:pPr>
  </w:style>
  <w:style w:type="paragraph" w:styleId="List3">
    <w:name w:val="List 3"/>
    <w:basedOn w:val="BodyText"/>
    <w:rsid w:val="005960A0"/>
    <w:pPr>
      <w:tabs>
        <w:tab w:val="left" w:pos="1021"/>
      </w:tabs>
      <w:spacing w:before="60" w:after="60"/>
      <w:ind w:left="1020" w:hanging="340"/>
    </w:pPr>
  </w:style>
  <w:style w:type="paragraph" w:styleId="List4">
    <w:name w:val="List 4"/>
    <w:basedOn w:val="BodyText"/>
    <w:rsid w:val="005960A0"/>
    <w:pPr>
      <w:tabs>
        <w:tab w:val="left" w:pos="1361"/>
      </w:tabs>
      <w:spacing w:before="60" w:after="60"/>
      <w:ind w:left="1361" w:hanging="340"/>
    </w:pPr>
  </w:style>
  <w:style w:type="paragraph" w:styleId="List5">
    <w:name w:val="List 5"/>
    <w:basedOn w:val="BodyText"/>
    <w:rsid w:val="005960A0"/>
    <w:pPr>
      <w:tabs>
        <w:tab w:val="left" w:pos="1701"/>
      </w:tabs>
      <w:spacing w:before="60" w:after="60"/>
      <w:ind w:left="1701" w:hanging="340"/>
    </w:pPr>
  </w:style>
  <w:style w:type="paragraph" w:styleId="ListBullet3">
    <w:name w:val="List Bullet 3"/>
    <w:basedOn w:val="List3"/>
    <w:rsid w:val="005960A0"/>
    <w:pPr>
      <w:numPr>
        <w:numId w:val="14"/>
      </w:numPr>
      <w:tabs>
        <w:tab w:val="clear" w:pos="1021"/>
      </w:tabs>
      <w:ind w:left="1037" w:hanging="357"/>
    </w:pPr>
  </w:style>
  <w:style w:type="paragraph" w:styleId="ListBullet4">
    <w:name w:val="List Bullet 4"/>
    <w:basedOn w:val="List4"/>
    <w:rsid w:val="005960A0"/>
    <w:pPr>
      <w:numPr>
        <w:numId w:val="3"/>
      </w:numPr>
      <w:tabs>
        <w:tab w:val="clear" w:pos="1361"/>
      </w:tabs>
    </w:pPr>
  </w:style>
  <w:style w:type="paragraph" w:styleId="ListBullet5">
    <w:name w:val="List Bullet 5"/>
    <w:basedOn w:val="List5"/>
    <w:rsid w:val="005960A0"/>
    <w:pPr>
      <w:numPr>
        <w:numId w:val="4"/>
      </w:numPr>
    </w:pPr>
  </w:style>
  <w:style w:type="paragraph" w:styleId="ListContinue2">
    <w:name w:val="List Continue 2"/>
    <w:basedOn w:val="List2"/>
    <w:rsid w:val="005960A0"/>
    <w:pPr>
      <w:ind w:firstLine="0"/>
    </w:pPr>
  </w:style>
  <w:style w:type="paragraph" w:styleId="ListContinue3">
    <w:name w:val="List Continue 3"/>
    <w:basedOn w:val="List3"/>
    <w:rsid w:val="005960A0"/>
    <w:pPr>
      <w:ind w:left="1021" w:firstLine="0"/>
    </w:pPr>
  </w:style>
  <w:style w:type="paragraph" w:styleId="ListContinue4">
    <w:name w:val="List Continue 4"/>
    <w:basedOn w:val="List4"/>
    <w:rsid w:val="005960A0"/>
    <w:pPr>
      <w:ind w:firstLine="0"/>
    </w:pPr>
  </w:style>
  <w:style w:type="paragraph" w:styleId="ListContinue5">
    <w:name w:val="List Continue 5"/>
    <w:basedOn w:val="List5"/>
    <w:rsid w:val="005960A0"/>
    <w:pPr>
      <w:ind w:firstLine="0"/>
    </w:pPr>
  </w:style>
  <w:style w:type="paragraph" w:styleId="ListNumber3">
    <w:name w:val="List Number 3"/>
    <w:basedOn w:val="List3"/>
    <w:rsid w:val="005960A0"/>
    <w:pPr>
      <w:numPr>
        <w:numId w:val="5"/>
      </w:numPr>
    </w:pPr>
  </w:style>
  <w:style w:type="paragraph" w:styleId="ListNumber4">
    <w:name w:val="List Number 4"/>
    <w:basedOn w:val="List4"/>
    <w:rsid w:val="005960A0"/>
    <w:pPr>
      <w:numPr>
        <w:numId w:val="6"/>
      </w:numPr>
    </w:pPr>
  </w:style>
  <w:style w:type="paragraph" w:styleId="ListNumber5">
    <w:name w:val="List Number 5"/>
    <w:basedOn w:val="List5"/>
    <w:rsid w:val="005960A0"/>
    <w:pPr>
      <w:numPr>
        <w:numId w:val="7"/>
      </w:numPr>
    </w:pPr>
  </w:style>
  <w:style w:type="paragraph" w:styleId="BlockText">
    <w:name w:val="Block Text"/>
    <w:basedOn w:val="Normal"/>
    <w:rsid w:val="005960A0"/>
    <w:pPr>
      <w:spacing w:after="120"/>
      <w:ind w:left="1440" w:right="1440"/>
    </w:pPr>
  </w:style>
  <w:style w:type="character" w:customStyle="1" w:styleId="Subscript">
    <w:name w:val="Subscript"/>
    <w:basedOn w:val="DefaultParagraphFont"/>
    <w:rsid w:val="005960A0"/>
    <w:rPr>
      <w:sz w:val="16"/>
      <w:vertAlign w:val="subscript"/>
    </w:rPr>
  </w:style>
  <w:style w:type="character" w:customStyle="1" w:styleId="Superscript">
    <w:name w:val="Superscript"/>
    <w:basedOn w:val="DefaultParagraphFont"/>
    <w:rsid w:val="005960A0"/>
    <w:rPr>
      <w:sz w:val="16"/>
      <w:vertAlign w:val="superscript"/>
    </w:rPr>
  </w:style>
  <w:style w:type="character" w:customStyle="1" w:styleId="Symbols">
    <w:name w:val="Symbols"/>
    <w:basedOn w:val="DefaultParagraphFont"/>
    <w:rsid w:val="005960A0"/>
    <w:rPr>
      <w:rFonts w:ascii="Symbol" w:hAnsi="Symbol"/>
    </w:rPr>
  </w:style>
  <w:style w:type="character" w:customStyle="1" w:styleId="MenuOptions">
    <w:name w:val="Menu Options"/>
    <w:basedOn w:val="DefaultParagraphFont"/>
    <w:rsid w:val="005960A0"/>
    <w:rPr>
      <w:rFonts w:ascii="Arial Narrow" w:hAnsi="Arial Narrow"/>
      <w:smallCaps/>
    </w:rPr>
  </w:style>
  <w:style w:type="character" w:customStyle="1" w:styleId="Buttons">
    <w:name w:val="Buttons"/>
    <w:basedOn w:val="DefaultParagraphFont"/>
    <w:rsid w:val="005960A0"/>
    <w:rPr>
      <w:b/>
    </w:rPr>
  </w:style>
  <w:style w:type="character" w:customStyle="1" w:styleId="Underlined">
    <w:name w:val="Underlined"/>
    <w:basedOn w:val="DefaultParagraphFont"/>
    <w:rsid w:val="005960A0"/>
    <w:rPr>
      <w:u w:val="single"/>
    </w:rPr>
  </w:style>
  <w:style w:type="paragraph" w:customStyle="1" w:styleId="TableBodyTextRight">
    <w:name w:val="Table Body Text Right"/>
    <w:basedOn w:val="TableBodyText"/>
    <w:rsid w:val="005960A0"/>
    <w:pPr>
      <w:widowControl w:val="0"/>
      <w:autoSpaceDE w:val="0"/>
      <w:autoSpaceDN w:val="0"/>
      <w:adjustRightInd w:val="0"/>
      <w:jc w:val="right"/>
    </w:pPr>
    <w:rPr>
      <w:rFonts w:cs="Arial"/>
      <w:szCs w:val="18"/>
    </w:rPr>
  </w:style>
  <w:style w:type="paragraph" w:customStyle="1" w:styleId="CopyrightText">
    <w:name w:val="Copyright Text"/>
    <w:basedOn w:val="BodyText"/>
    <w:rsid w:val="005960A0"/>
    <w:rPr>
      <w:sz w:val="18"/>
    </w:rPr>
  </w:style>
  <w:style w:type="paragraph" w:customStyle="1" w:styleId="BodySmallRight">
    <w:name w:val="Body Small Right"/>
    <w:basedOn w:val="BodyTextRight"/>
    <w:rsid w:val="005960A0"/>
    <w:rPr>
      <w:sz w:val="18"/>
      <w:szCs w:val="18"/>
    </w:rPr>
  </w:style>
  <w:style w:type="paragraph" w:customStyle="1" w:styleId="MarginEdition">
    <w:name w:val="Margin Edition"/>
    <w:basedOn w:val="MarginNote"/>
    <w:rsid w:val="005960A0"/>
    <w:pPr>
      <w:spacing w:before="0" w:after="0"/>
    </w:pPr>
    <w:rPr>
      <w:rFonts w:ascii="Times New Roman" w:hAnsi="Times New Roman"/>
      <w:color w:val="999999"/>
    </w:rPr>
  </w:style>
  <w:style w:type="paragraph" w:customStyle="1" w:styleId="Spacer">
    <w:name w:val="Spacer"/>
    <w:basedOn w:val="Normal"/>
    <w:rsid w:val="005960A0"/>
    <w:rPr>
      <w:sz w:val="2"/>
      <w:szCs w:val="2"/>
    </w:rPr>
  </w:style>
  <w:style w:type="character" w:customStyle="1" w:styleId="Small">
    <w:name w:val="Small"/>
    <w:basedOn w:val="DefaultParagraphFont"/>
    <w:rsid w:val="005960A0"/>
    <w:rPr>
      <w:sz w:val="16"/>
    </w:rPr>
  </w:style>
  <w:style w:type="paragraph" w:customStyle="1" w:styleId="WideTable">
    <w:name w:val="Wide Table"/>
    <w:basedOn w:val="Normal"/>
    <w:rsid w:val="005960A0"/>
    <w:pPr>
      <w:ind w:left="-1418"/>
    </w:pPr>
    <w:rPr>
      <w:sz w:val="2"/>
      <w:szCs w:val="2"/>
    </w:rPr>
  </w:style>
  <w:style w:type="character" w:styleId="PageNumber">
    <w:name w:val="page number"/>
    <w:basedOn w:val="DefaultParagraphFont"/>
    <w:rsid w:val="005960A0"/>
  </w:style>
  <w:style w:type="paragraph" w:styleId="Quote">
    <w:name w:val="Quote"/>
    <w:basedOn w:val="Heading1"/>
    <w:link w:val="QuoteChar"/>
    <w:qFormat/>
    <w:rsid w:val="005960A0"/>
    <w:rPr>
      <w:b w:val="0"/>
      <w:sz w:val="72"/>
      <w:szCs w:val="72"/>
      <w:lang w:val="en-NZ"/>
    </w:rPr>
  </w:style>
  <w:style w:type="character" w:customStyle="1" w:styleId="QuoteChar">
    <w:name w:val="Quote Char"/>
    <w:basedOn w:val="DefaultParagraphFont"/>
    <w:link w:val="Quote"/>
    <w:rsid w:val="00596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0A0"/>
    <w:pPr>
      <w:pageBreakBefore/>
    </w:pPr>
  </w:style>
  <w:style w:type="paragraph" w:customStyle="1" w:styleId="Border">
    <w:name w:val="Border"/>
    <w:basedOn w:val="Normal"/>
    <w:qFormat/>
    <w:rsid w:val="00596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0A0"/>
    <w:rPr>
      <w:b/>
      <w:bCs/>
      <w:i/>
      <w:iCs/>
      <w:color w:val="auto"/>
    </w:rPr>
  </w:style>
  <w:style w:type="paragraph" w:styleId="IntenseQuote">
    <w:name w:val="Intense Quote"/>
    <w:basedOn w:val="Normal"/>
    <w:next w:val="Normal"/>
    <w:link w:val="IntenseQuoteChar"/>
    <w:uiPriority w:val="30"/>
    <w:qFormat/>
    <w:rsid w:val="00596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0A0"/>
    <w:rPr>
      <w:smallCaps/>
      <w:color w:val="auto"/>
      <w:u w:val="single"/>
    </w:rPr>
  </w:style>
  <w:style w:type="character" w:styleId="IntenseReference">
    <w:name w:val="Intense Reference"/>
    <w:basedOn w:val="DefaultParagraphFont"/>
    <w:uiPriority w:val="32"/>
    <w:qFormat/>
    <w:rsid w:val="005960A0"/>
    <w:rPr>
      <w:b/>
      <w:bCs/>
      <w:smallCaps/>
      <w:color w:val="auto"/>
      <w:spacing w:val="5"/>
      <w:u w:val="single"/>
    </w:rPr>
  </w:style>
  <w:style w:type="paragraph" w:customStyle="1" w:styleId="2ColumnHeading">
    <w:name w:val="2Column Heading"/>
    <w:basedOn w:val="BodyText"/>
    <w:qFormat/>
    <w:rsid w:val="005960A0"/>
    <w:pPr>
      <w:spacing w:after="60"/>
      <w:ind w:left="-2268"/>
    </w:pPr>
    <w:rPr>
      <w:b/>
    </w:rPr>
  </w:style>
  <w:style w:type="paragraph" w:customStyle="1" w:styleId="Heading1TOC">
    <w:name w:val="Heading1 TOC"/>
    <w:basedOn w:val="Normal"/>
    <w:qFormat/>
    <w:rsid w:val="005960A0"/>
    <w:pPr>
      <w:spacing w:before="240" w:after="120"/>
    </w:pPr>
    <w:rPr>
      <w:rFonts w:ascii="Times New Roman" w:hAnsi="Times New Roman"/>
      <w:b/>
      <w:sz w:val="32"/>
    </w:rPr>
  </w:style>
  <w:style w:type="paragraph" w:customStyle="1" w:styleId="Heading2TOC">
    <w:name w:val="Heading2 TOC"/>
    <w:basedOn w:val="Normal"/>
    <w:qFormat/>
    <w:rsid w:val="005960A0"/>
    <w:pPr>
      <w:spacing w:before="240" w:after="60"/>
    </w:pPr>
    <w:rPr>
      <w:rFonts w:ascii="Times New Roman" w:hAnsi="Times New Roman"/>
      <w:b/>
      <w:sz w:val="28"/>
    </w:rPr>
  </w:style>
  <w:style w:type="character" w:customStyle="1" w:styleId="Underline">
    <w:name w:val="Underline"/>
    <w:basedOn w:val="DefaultParagraphFont"/>
    <w:qFormat/>
    <w:rsid w:val="005960A0"/>
    <w:rPr>
      <w:u w:val="single"/>
    </w:rPr>
  </w:style>
  <w:style w:type="character" w:customStyle="1" w:styleId="BoldandItalics">
    <w:name w:val="Bold and Italics"/>
    <w:qFormat/>
    <w:rsid w:val="005960A0"/>
    <w:rPr>
      <w:b/>
      <w:i/>
      <w:u w:val="none"/>
    </w:rPr>
  </w:style>
  <w:style w:type="paragraph" w:styleId="BalloonText">
    <w:name w:val="Balloon Text"/>
    <w:basedOn w:val="Normal"/>
    <w:link w:val="BalloonTextChar"/>
    <w:rsid w:val="005960A0"/>
    <w:rPr>
      <w:rFonts w:ascii="Tahoma" w:hAnsi="Tahoma" w:cs="Tahoma"/>
      <w:sz w:val="16"/>
      <w:szCs w:val="16"/>
    </w:rPr>
  </w:style>
  <w:style w:type="character" w:customStyle="1" w:styleId="BalloonTextChar">
    <w:name w:val="Balloon Text Char"/>
    <w:basedOn w:val="DefaultParagraphFont"/>
    <w:link w:val="BalloonText"/>
    <w:rsid w:val="00596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0A0"/>
    <w:rPr>
      <w:b/>
      <w:color w:val="660033"/>
      <w:spacing w:val="0"/>
    </w:rPr>
  </w:style>
  <w:style w:type="paragraph" w:customStyle="1" w:styleId="Nameditemlist">
    <w:name w:val="Named item list"/>
    <w:basedOn w:val="BodyText"/>
    <w:qFormat/>
    <w:rsid w:val="005960A0"/>
    <w:pPr>
      <w:tabs>
        <w:tab w:val="left" w:pos="2835"/>
      </w:tabs>
      <w:ind w:left="2835" w:hanging="2835"/>
    </w:pPr>
  </w:style>
  <w:style w:type="paragraph" w:customStyle="1" w:styleId="BodyTextnopadding">
    <w:name w:val="Body Text no padding"/>
    <w:basedOn w:val="BodyText"/>
    <w:qFormat/>
    <w:rsid w:val="005960A0"/>
    <w:pPr>
      <w:spacing w:before="0" w:after="0"/>
    </w:pPr>
  </w:style>
  <w:style w:type="paragraph" w:customStyle="1" w:styleId="BodyTextBold">
    <w:name w:val="Body Text Bold"/>
    <w:basedOn w:val="BodyText"/>
    <w:qFormat/>
    <w:rsid w:val="005960A0"/>
    <w:rPr>
      <w:b/>
    </w:rPr>
  </w:style>
  <w:style w:type="character" w:styleId="Hyperlink">
    <w:name w:val="Hyperlink"/>
    <w:basedOn w:val="DefaultParagraphFont"/>
    <w:uiPriority w:val="99"/>
    <w:unhideWhenUsed/>
    <w:rsid w:val="00F26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5695</Characters>
  <Application>Microsoft Office Word</Application>
  <DocSecurity>0</DocSecurity>
  <Lines>111</Lines>
  <Paragraphs>68</Paragraphs>
  <ScaleCrop>false</ScaleCrop>
  <Company>Author-it Software Corporation Ltd.</Company>
  <LinksUpToDate>false</LinksUpToDate>
  <CharactersWithSpaces>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UETTDRSO34 Control power systems generating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2021-03-24T00:22:00Z</dcterms:created>
  <dcterms:modified xsi:type="dcterms:W3CDTF">2021-03-24T00:22:00Z</dcterms:modified>
</cp:coreProperties>
</file>