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2417" w:rsidP="00812417">
      <w:pPr>
        <w:pStyle w:val="Title"/>
      </w:pPr>
      <w:r>
        <w:fldChar w:fldCharType="begin"/>
      </w:r>
      <w:r>
        <w:instrText xml:space="preserve"> TITLE   \* MERGEFORMAT </w:instrText>
      </w:r>
      <w:r>
        <w:fldChar w:fldCharType="separate"/>
      </w:r>
      <w:r>
        <w:t>UETTDRSO33 Manage power systems critical events</w:t>
      </w:r>
      <w:r>
        <w:fldChar w:fldCharType="end"/>
      </w:r>
    </w:p>
    <w:p w:rsidR="00812417" w:rsidP="00812417">
      <w:pPr>
        <w:pStyle w:val="Version"/>
        <w:sectPr w:rsidSect="007918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187C" w:rsidP="0079187C">
      <w:pPr>
        <w:pStyle w:val="SuperHeading"/>
      </w:pPr>
      <w:r w:rsidRPr="0079187C">
        <w:t>UETTDRSO33 Manage power systems critical events</w:t>
      </w:r>
    </w:p>
    <w:p w:rsidR="00000000" w:rsidRPr="0079187C" w:rsidP="0079187C">
      <w:pPr>
        <w:pStyle w:val="Heading1"/>
      </w:pPr>
      <w:bookmarkStart w:id="1" w:name="O_1004796"/>
      <w:bookmarkEnd w:id="1"/>
      <w:r w:rsidRPr="0079187C">
        <w:t>Modification History</w:t>
      </w:r>
    </w:p>
    <w:tbl>
      <w:tblPr>
        <w:tblW w:w="9497" w:type="dxa"/>
        <w:tblLayout w:type="fixed"/>
        <w:tblCellMar>
          <w:left w:w="62" w:type="dxa"/>
          <w:right w:w="62" w:type="dxa"/>
        </w:tblCellMar>
        <w:tblLook w:val="0000"/>
      </w:tblPr>
      <w:tblGrid>
        <w:gridCol w:w="9497"/>
      </w:tblGrid>
      <w:tr w:rsidTr="007918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87C" w:rsidP="0079187C">
            <w:pPr>
              <w:pStyle w:val="BodyText"/>
            </w:pPr>
            <w:r w:rsidRPr="0079187C">
              <w:t>Release 1. This is the first release of this unit of competency in the UET Transmission, Distribution and Rail Sector Training Package.</w:t>
            </w:r>
          </w:p>
        </w:tc>
      </w:tr>
    </w:tbl>
    <w:p w:rsidR="00000000" w:rsidRPr="0079187C" w:rsidP="0079187C">
      <w:pPr>
        <w:pStyle w:val="NoPaddingFontSize1"/>
      </w:pPr>
    </w:p>
    <w:p w:rsidR="00000000" w:rsidRPr="0079187C" w:rsidP="0079187C">
      <w:pPr>
        <w:pStyle w:val="AllowPageBreak"/>
      </w:pPr>
    </w:p>
    <w:p w:rsidR="00000000" w:rsidRPr="0079187C" w:rsidP="0079187C">
      <w:pPr>
        <w:pStyle w:val="Heading1"/>
      </w:pPr>
      <w:bookmarkStart w:id="2" w:name="O_1004797"/>
      <w:bookmarkEnd w:id="2"/>
      <w:r w:rsidRPr="0079187C">
        <w:t>Application</w:t>
      </w:r>
    </w:p>
    <w:tbl>
      <w:tblPr>
        <w:tblW w:w="9497" w:type="dxa"/>
        <w:tblLayout w:type="fixed"/>
        <w:tblCellMar>
          <w:left w:w="62" w:type="dxa"/>
          <w:right w:w="62" w:type="dxa"/>
        </w:tblCellMar>
        <w:tblLook w:val="0000"/>
      </w:tblPr>
      <w:tblGrid>
        <w:gridCol w:w="9497"/>
      </w:tblGrid>
      <w:tr w:rsidTr="007918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87C" w:rsidP="0079187C">
            <w:pPr>
              <w:pStyle w:val="BodyText"/>
            </w:pPr>
            <w:r w:rsidRPr="0079187C">
              <w:t xml:space="preserve">This unit covers the management of critical events, such </w:t>
            </w:r>
            <w:r w:rsidRPr="0079187C">
              <w:t>as simultaneous multiple network faults and storm events of various magnitudes. It includes liaison procedures with multiple operating authorities and dispatching and managing multiple field crews. It also encompasses monitoring of safe access to the netwo</w:t>
            </w:r>
            <w:r w:rsidRPr="0079187C">
              <w:t>rk and invoking crisis management procedures and mutual aid plans.</w:t>
            </w:r>
          </w:p>
          <w:p w:rsidR="00000000" w:rsidRPr="0079187C" w:rsidP="0079187C">
            <w:pPr>
              <w:pStyle w:val="BodyText"/>
            </w:pPr>
            <w:r w:rsidRPr="0079187C">
              <w:t>The application of the skills and knowledge described in this unit may require a licence/registration to practice in the workplace subject to regulations for undertaking of electrical work.</w:t>
            </w:r>
            <w:r w:rsidRPr="0079187C">
              <w:t xml:space="preserve">  </w:t>
            </w:r>
          </w:p>
          <w:p w:rsidR="00000000" w:rsidRPr="0079187C" w:rsidP="0079187C">
            <w:pPr>
              <w:pStyle w:val="BodyText"/>
            </w:pPr>
            <w:r w:rsidRPr="0079187C">
              <w:t>Other conditions may apply under state and territory legislative and regulatory licencing requirements which must be confirmed prior to commencing this unit.</w:t>
            </w:r>
          </w:p>
        </w:tc>
      </w:tr>
    </w:tbl>
    <w:p w:rsidR="00000000" w:rsidRPr="0079187C" w:rsidP="0079187C">
      <w:pPr>
        <w:pStyle w:val="NoPaddingFontSize1"/>
      </w:pPr>
    </w:p>
    <w:p w:rsidR="00000000" w:rsidRPr="0079187C" w:rsidP="0079187C">
      <w:pPr>
        <w:pStyle w:val="AllowPageBreak"/>
      </w:pPr>
    </w:p>
    <w:p w:rsidR="00000000" w:rsidRPr="0079187C" w:rsidP="0079187C">
      <w:pPr>
        <w:pStyle w:val="Heading1"/>
      </w:pPr>
      <w:bookmarkStart w:id="3" w:name="O_1004798"/>
      <w:bookmarkEnd w:id="3"/>
      <w:r w:rsidRPr="0079187C">
        <w:t>Pre-requisite Unit</w:t>
      </w:r>
    </w:p>
    <w:tbl>
      <w:tblPr>
        <w:tblW w:w="9497" w:type="dxa"/>
        <w:tblLayout w:type="fixed"/>
        <w:tblCellMar>
          <w:left w:w="62" w:type="dxa"/>
          <w:right w:w="62" w:type="dxa"/>
        </w:tblCellMar>
        <w:tblLook w:val="0000"/>
      </w:tblPr>
      <w:tblGrid>
        <w:gridCol w:w="9497"/>
      </w:tblGrid>
      <w:tr w:rsidTr="007918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87C" w:rsidP="0079187C">
            <w:pPr>
              <w:pStyle w:val="BodyText"/>
            </w:pPr>
            <w:r w:rsidRPr="0079187C">
              <w:t>All competencies in the Common Unit Group must have bee</w:t>
            </w:r>
            <w:r w:rsidRPr="0079187C">
              <w:t xml:space="preserve">n completed, plus all competencies in one (1) of the identified Pathway Unit Group(s). </w:t>
            </w:r>
          </w:p>
          <w:p w:rsidR="00000000" w:rsidRPr="0079187C" w:rsidP="0079187C">
            <w:pPr>
              <w:pStyle w:val="BodyText"/>
            </w:pPr>
            <w:r w:rsidRPr="0079187C">
              <w:t>Common Unit Group</w:t>
            </w:r>
          </w:p>
          <w:p w:rsidR="00000000" w:rsidRPr="0079187C" w:rsidP="0079187C">
            <w:pPr>
              <w:pStyle w:val="BodyText"/>
            </w:pPr>
            <w:r w:rsidRPr="0079187C">
              <w:t>UEENEED104A Use engineering applications software on personal computers</w:t>
            </w:r>
          </w:p>
          <w:p w:rsidR="00000000" w:rsidRPr="0079187C" w:rsidP="0079187C">
            <w:pPr>
              <w:pStyle w:val="BodyText"/>
            </w:pPr>
            <w:r w:rsidRPr="0079187C">
              <w:t>UEENEEE101A Apply Occupational Health and Safety regulations, codes and practi</w:t>
            </w:r>
            <w:r w:rsidRPr="0079187C">
              <w:t>ces in the workplace</w:t>
            </w:r>
          </w:p>
          <w:p w:rsidR="00000000" w:rsidRPr="0079187C" w:rsidP="0079187C">
            <w:pPr>
              <w:pStyle w:val="BodyText"/>
            </w:pPr>
            <w:r w:rsidRPr="0079187C">
              <w:t>UEENEEE102A Fabricate, assemble and dismantle utilities industry components</w:t>
            </w:r>
          </w:p>
          <w:p w:rsidR="00000000" w:rsidRPr="0079187C" w:rsidP="0079187C">
            <w:pPr>
              <w:pStyle w:val="BodyText"/>
            </w:pPr>
            <w:r w:rsidRPr="0079187C">
              <w:t>UEENEEE104A Solve problems in d.c. circuits</w:t>
            </w:r>
          </w:p>
          <w:p w:rsidR="00000000" w:rsidRPr="0079187C" w:rsidP="0079187C">
            <w:pPr>
              <w:pStyle w:val="BodyText"/>
            </w:pPr>
            <w:r w:rsidRPr="0079187C">
              <w:t>UEENEEE107A Use drawings, diagrams, schedules, standards, codes and specifications</w:t>
            </w:r>
          </w:p>
          <w:p w:rsidR="00000000" w:rsidRPr="0079187C" w:rsidP="0079187C">
            <w:pPr>
              <w:pStyle w:val="BodyText"/>
            </w:pPr>
            <w:r w:rsidRPr="0079187C">
              <w:t xml:space="preserve">UEENEEE124A Compile and produce </w:t>
            </w:r>
            <w:r w:rsidRPr="0079187C">
              <w:t>an energy sector detailed report</w:t>
            </w:r>
          </w:p>
          <w:p w:rsidR="00000000" w:rsidRPr="0079187C" w:rsidP="0079187C">
            <w:pPr>
              <w:pStyle w:val="BodyText"/>
            </w:pPr>
            <w:r w:rsidRPr="0079187C">
              <w:t>UEENEEE125A Provide engineering solutions for problems in complex multiple path circuits</w:t>
            </w:r>
          </w:p>
          <w:p w:rsidR="00000000" w:rsidRPr="0079187C" w:rsidP="0079187C">
            <w:pPr>
              <w:pStyle w:val="BodyText"/>
            </w:pPr>
            <w:r w:rsidRPr="0079187C">
              <w:t>UEENEEE126A Provide solutions to basic engineering computational problems</w:t>
            </w:r>
          </w:p>
          <w:p w:rsidR="00000000" w:rsidRPr="0079187C" w:rsidP="0079187C">
            <w:pPr>
              <w:pStyle w:val="BodyText"/>
            </w:pPr>
            <w:r w:rsidRPr="0079187C">
              <w:t>UEENEEG101A Solve problems in electromagnetic devices and related circuits</w:t>
            </w:r>
          </w:p>
          <w:p w:rsidR="00000000" w:rsidRPr="0079187C" w:rsidP="0079187C">
            <w:pPr>
              <w:pStyle w:val="BodyText"/>
            </w:pPr>
            <w:r w:rsidRPr="0079187C">
              <w:t>UEENEEG102A Solve problems in low voltage a.c. circuits</w:t>
            </w:r>
          </w:p>
          <w:p w:rsidR="00000000" w:rsidRPr="0079187C" w:rsidP="0079187C">
            <w:pPr>
              <w:pStyle w:val="BodyText"/>
            </w:pPr>
            <w:r w:rsidRPr="0079187C">
              <w:t>UEENEEG149A Provide engineering solutions to problems in complex polyphase power circuits</w:t>
            </w:r>
          </w:p>
          <w:p w:rsidR="00000000" w:rsidRPr="0079187C" w:rsidP="0079187C">
            <w:pPr>
              <w:pStyle w:val="BodyText"/>
            </w:pPr>
            <w:r w:rsidRPr="0079187C">
              <w:t>UETTDREL11 Apply sustainable energy</w:t>
            </w:r>
            <w:r w:rsidRPr="0079187C">
              <w:t xml:space="preserve"> and environmental procedures</w:t>
            </w:r>
          </w:p>
          <w:p w:rsidR="00000000" w:rsidRPr="0079187C" w:rsidP="0079187C">
            <w:pPr>
              <w:pStyle w:val="BodyText"/>
            </w:pPr>
            <w:r w:rsidRPr="0079187C">
              <w:t>UETTDREL16 Working safely near live electrical apparatus</w:t>
            </w:r>
          </w:p>
          <w:p w:rsidR="00000000" w:rsidRPr="0079187C" w:rsidP="0079187C">
            <w:pPr>
              <w:pStyle w:val="BodyText"/>
            </w:pPr>
            <w:r w:rsidRPr="0079187C">
              <w:t>UETTDRIS62 Implement and monitor the power system organisational WHS/OHS policies, procedures and programs</w:t>
            </w:r>
          </w:p>
          <w:p w:rsidR="00000000" w:rsidRPr="0079187C" w:rsidP="0079187C">
            <w:pPr>
              <w:pStyle w:val="BodyText"/>
            </w:pPr>
            <w:r w:rsidRPr="0079187C">
              <w:t>UETTDRIS63 Implement &amp; monitor power system environmental &amp; su</w:t>
            </w:r>
            <w:r w:rsidRPr="0079187C">
              <w:t>stainable energy management policies &amp; procedures</w:t>
            </w:r>
          </w:p>
          <w:p w:rsidR="00000000" w:rsidRPr="0079187C" w:rsidP="0079187C">
            <w:pPr>
              <w:pStyle w:val="BodyText"/>
            </w:pPr>
            <w:r w:rsidRPr="0079187C">
              <w:t>UETTDRSO32 Manage power systems network faults</w:t>
            </w:r>
          </w:p>
          <w:p w:rsidR="00000000" w:rsidRPr="0079187C" w:rsidP="0079187C">
            <w:pPr>
              <w:pStyle w:val="BodyText"/>
            </w:pPr>
            <w:r w:rsidRPr="0079187C">
              <w:t>UETTDRSO41 Manage power systems transmission networks</w:t>
            </w:r>
          </w:p>
          <w:p w:rsidR="00000000" w:rsidRPr="0079187C" w:rsidP="0079187C">
            <w:pPr>
              <w:pStyle w:val="BodyText"/>
            </w:pPr>
            <w:r w:rsidRPr="0079187C">
              <w:t>UETTDRSO48 Respond to discrete and interdependent protection operations</w:t>
            </w:r>
          </w:p>
          <w:p w:rsidR="00000000" w:rsidRPr="0079187C" w:rsidP="0079187C">
            <w:pPr>
              <w:pStyle w:val="BodyText"/>
            </w:pPr>
            <w:r w:rsidRPr="0079187C">
              <w:t>UETTDRSO49 Coordinate power syste</w:t>
            </w:r>
            <w:r w:rsidRPr="0079187C">
              <w:t>m operations in a regulated energy market</w:t>
            </w:r>
          </w:p>
          <w:p w:rsidR="00000000" w:rsidRPr="0079187C" w:rsidP="0079187C">
            <w:pPr>
              <w:pStyle w:val="BodyText"/>
            </w:pPr>
            <w:r w:rsidRPr="0079187C">
              <w:t>UETTDRSO50 Respond to complex power system protection operations</w:t>
            </w:r>
          </w:p>
          <w:p w:rsidR="00000000" w:rsidRPr="0079187C" w:rsidP="0079187C">
            <w:pPr>
              <w:pStyle w:val="BodyText"/>
            </w:pPr>
            <w:r w:rsidRPr="0079187C">
              <w:t>Generation/Distribution and Sub-transmission Pathway Unit Group</w:t>
            </w:r>
          </w:p>
          <w:p w:rsidR="00000000" w:rsidRPr="0079187C" w:rsidP="0079187C">
            <w:pPr>
              <w:pStyle w:val="BodyText"/>
            </w:pPr>
            <w:r w:rsidRPr="0079187C">
              <w:t>UETTDRSO34 Control power systems generating plant</w:t>
            </w:r>
          </w:p>
          <w:p w:rsidR="00000000" w:rsidRPr="0079187C" w:rsidP="0079187C">
            <w:pPr>
              <w:pStyle w:val="BodyText"/>
            </w:pPr>
            <w:r w:rsidRPr="0079187C">
              <w:t>UETTDRSO37 Develop high voltage dis</w:t>
            </w:r>
            <w:r w:rsidRPr="0079187C">
              <w:t>tribution and sub-transmission switching programs</w:t>
            </w:r>
          </w:p>
          <w:p w:rsidR="00000000" w:rsidRPr="0079187C" w:rsidP="0079187C">
            <w:pPr>
              <w:pStyle w:val="BodyText"/>
            </w:pPr>
            <w:r w:rsidRPr="0079187C">
              <w:t>UETTDRSO40 Coordinate high voltage distribution and sub-transmission networks</w:t>
            </w:r>
          </w:p>
          <w:p w:rsidR="00000000" w:rsidRPr="0079187C" w:rsidP="0079187C">
            <w:pPr>
              <w:pStyle w:val="BodyText"/>
            </w:pPr>
            <w:r w:rsidRPr="0079187C">
              <w:t>Generation/Transmission Pathway Unit Group</w:t>
            </w:r>
          </w:p>
          <w:p w:rsidR="00000000" w:rsidRPr="0079187C" w:rsidP="0079187C">
            <w:pPr>
              <w:pStyle w:val="BodyText"/>
            </w:pPr>
            <w:r w:rsidRPr="0079187C">
              <w:t>UETTDRSO34 Control power systems generating plant</w:t>
            </w:r>
          </w:p>
          <w:p w:rsidR="00000000" w:rsidRPr="0079187C" w:rsidP="0079187C">
            <w:pPr>
              <w:pStyle w:val="BodyText"/>
            </w:pPr>
            <w:r w:rsidRPr="0079187C">
              <w:t>UETTDRSO38 Develop and evaluate pow</w:t>
            </w:r>
            <w:r w:rsidRPr="0079187C">
              <w:t>er systems transmission switching programs</w:t>
            </w:r>
          </w:p>
          <w:p w:rsidR="00000000" w:rsidRPr="0079187C" w:rsidP="0079187C">
            <w:pPr>
              <w:pStyle w:val="BodyText"/>
            </w:pPr>
            <w:r w:rsidRPr="0079187C">
              <w:t>UETTDRSO47 Coordinate high voltage transmission network</w:t>
            </w:r>
          </w:p>
          <w:p w:rsidR="00000000" w:rsidRPr="0079187C" w:rsidP="0079187C">
            <w:pPr>
              <w:pStyle w:val="BodyText"/>
            </w:pPr>
            <w:r w:rsidRPr="0079187C">
              <w:t>Distribution and Sub-transmission Pathway Unit Group</w:t>
            </w:r>
          </w:p>
          <w:p w:rsidR="00000000" w:rsidRPr="0079187C" w:rsidP="0079187C">
            <w:pPr>
              <w:pStyle w:val="BodyText"/>
            </w:pPr>
            <w:r w:rsidRPr="0079187C">
              <w:t>UETTDRSO35 Manage high voltage distribution and sub-transmission network demand</w:t>
            </w:r>
          </w:p>
          <w:p w:rsidR="00000000" w:rsidRPr="0079187C" w:rsidP="0079187C">
            <w:pPr>
              <w:pStyle w:val="BodyText"/>
            </w:pPr>
            <w:r w:rsidRPr="0079187C">
              <w:t xml:space="preserve">UETTDRSO37 Develop high </w:t>
            </w:r>
            <w:r w:rsidRPr="0079187C">
              <w:t>voltage distribution and sub-transmission switching programs</w:t>
            </w:r>
          </w:p>
          <w:p w:rsidR="00000000" w:rsidRPr="0079187C" w:rsidP="0079187C">
            <w:pPr>
              <w:pStyle w:val="BodyText"/>
            </w:pPr>
            <w:r w:rsidRPr="0079187C">
              <w:t>UETTDRSO40 Coordinate high voltage distribution and sub-transmission networks</w:t>
            </w:r>
          </w:p>
          <w:p w:rsidR="00000000" w:rsidRPr="0079187C" w:rsidP="0079187C">
            <w:pPr>
              <w:pStyle w:val="BodyText"/>
            </w:pPr>
            <w:r w:rsidRPr="0079187C">
              <w:t>Transmission Pathway Unit Group</w:t>
            </w:r>
          </w:p>
          <w:p w:rsidR="00000000" w:rsidRPr="0079187C" w:rsidP="0079187C">
            <w:pPr>
              <w:pStyle w:val="BodyText"/>
            </w:pPr>
            <w:r w:rsidRPr="0079187C">
              <w:t>UETTDRSO38 Develop and evaluate power systems transmission switching programs</w:t>
            </w:r>
          </w:p>
          <w:p w:rsidR="00000000" w:rsidRPr="0079187C" w:rsidP="0079187C">
            <w:pPr>
              <w:pStyle w:val="BodyText"/>
            </w:pPr>
            <w:r w:rsidRPr="0079187C">
              <w:t>UETTDRS</w:t>
            </w:r>
            <w:r w:rsidRPr="0079187C">
              <w:t>O41 Manage power systems transmission networks</w:t>
            </w:r>
          </w:p>
          <w:p w:rsidR="00000000" w:rsidRPr="0079187C" w:rsidP="0079187C">
            <w:pPr>
              <w:pStyle w:val="BodyText"/>
            </w:pPr>
            <w:r w:rsidRPr="0079187C">
              <w:t>UETTDRSO42 Manage power systems transmission network demand</w:t>
            </w:r>
          </w:p>
          <w:p w:rsidR="00000000" w:rsidRPr="0079187C" w:rsidP="0079187C">
            <w:pPr>
              <w:pStyle w:val="BodyText"/>
            </w:pPr>
            <w:r w:rsidRPr="0079187C">
              <w:t>UETTDRSO47 Coordinate high voltage transmission network</w:t>
            </w:r>
          </w:p>
        </w:tc>
      </w:tr>
    </w:tbl>
    <w:p w:rsidR="00000000" w:rsidRPr="0079187C" w:rsidP="0079187C">
      <w:pPr>
        <w:pStyle w:val="NoPaddingFontSize1"/>
      </w:pPr>
    </w:p>
    <w:p w:rsidR="00000000" w:rsidRPr="0079187C" w:rsidP="0079187C">
      <w:pPr>
        <w:pStyle w:val="AllowPageBreak"/>
      </w:pPr>
    </w:p>
    <w:p w:rsidR="00000000" w:rsidRPr="0079187C" w:rsidP="0079187C">
      <w:pPr>
        <w:pStyle w:val="Heading1"/>
      </w:pPr>
      <w:bookmarkStart w:id="4" w:name="O_1004799"/>
      <w:bookmarkEnd w:id="4"/>
      <w:r w:rsidRPr="0079187C">
        <w:t>Competency Field</w:t>
      </w:r>
    </w:p>
    <w:tbl>
      <w:tblPr>
        <w:tblW w:w="9497" w:type="dxa"/>
        <w:tblLayout w:type="fixed"/>
        <w:tblCellMar>
          <w:left w:w="62" w:type="dxa"/>
          <w:right w:w="62" w:type="dxa"/>
        </w:tblCellMar>
        <w:tblLook w:val="0000"/>
      </w:tblPr>
      <w:tblGrid>
        <w:gridCol w:w="9497"/>
      </w:tblGrid>
      <w:tr w:rsidTr="007918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87C" w:rsidP="0079187C">
            <w:pPr>
              <w:pStyle w:val="BodyText"/>
            </w:pPr>
            <w:r w:rsidRPr="0079187C">
              <w:t>System Operations</w:t>
            </w:r>
          </w:p>
        </w:tc>
      </w:tr>
    </w:tbl>
    <w:p w:rsidR="00000000" w:rsidRPr="0079187C" w:rsidP="0079187C">
      <w:pPr>
        <w:pStyle w:val="NoPaddingFontSize1"/>
      </w:pPr>
    </w:p>
    <w:p w:rsidR="00000000" w:rsidRPr="0079187C" w:rsidP="0079187C">
      <w:pPr>
        <w:pStyle w:val="AllowPageBreak"/>
      </w:pPr>
    </w:p>
    <w:p w:rsidR="00000000" w:rsidRPr="0079187C" w:rsidP="0079187C">
      <w:pPr>
        <w:pStyle w:val="Heading1"/>
      </w:pPr>
      <w:bookmarkStart w:id="5" w:name="O_1004800"/>
      <w:bookmarkEnd w:id="5"/>
      <w:r w:rsidRPr="0079187C">
        <w:t>Unit Sector</w:t>
      </w:r>
    </w:p>
    <w:tbl>
      <w:tblPr>
        <w:tblW w:w="9497" w:type="dxa"/>
        <w:tblLayout w:type="fixed"/>
        <w:tblCellMar>
          <w:left w:w="62" w:type="dxa"/>
          <w:right w:w="62" w:type="dxa"/>
        </w:tblCellMar>
        <w:tblLook w:val="0000"/>
      </w:tblPr>
      <w:tblGrid>
        <w:gridCol w:w="9497"/>
      </w:tblGrid>
      <w:tr w:rsidTr="007918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87C" w:rsidP="0079187C">
            <w:pPr>
              <w:pStyle w:val="BodyText"/>
            </w:pPr>
            <w:r w:rsidRPr="0079187C">
              <w:t>Not applicable.</w:t>
            </w:r>
          </w:p>
        </w:tc>
      </w:tr>
    </w:tbl>
    <w:p w:rsidR="00812417" w:rsidP="0079187C">
      <w:pPr>
        <w:pStyle w:val="NoPaddingFontSize1"/>
      </w:pPr>
    </w:p>
    <w:p w:rsidR="00812417" w:rsidP="0079187C">
      <w:pPr>
        <w:pStyle w:val="NoPaddingFontSize1"/>
      </w:pPr>
    </w:p>
    <w:p w:rsidR="00000000" w:rsidRPr="0079187C" w:rsidP="0079187C">
      <w:pPr>
        <w:pStyle w:val="Heading1"/>
      </w:pPr>
      <w:bookmarkStart w:id="6" w:name="O_1004801"/>
      <w:bookmarkEnd w:id="6"/>
      <w:r w:rsidRPr="0079187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9187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9187C" w:rsidP="0079187C">
            <w:pPr>
              <w:pStyle w:val="BodyText"/>
            </w:pPr>
            <w:r w:rsidRPr="0079187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PERFORMANCE CRITERIA</w:t>
            </w:r>
          </w:p>
        </w:tc>
      </w:tr>
      <w:tr w:rsidTr="0079187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Performance criteria describe the performance needed to demonstrate achievement of the element.</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9187C" w:rsidP="0079187C">
            <w:pPr>
              <w:pStyle w:val="BodyText"/>
            </w:pPr>
            <w:r w:rsidRPr="0079187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9187C" w:rsidP="0079187C">
            <w:pPr>
              <w:pStyle w:val="BodyText"/>
            </w:pPr>
            <w:r w:rsidRPr="0079187C">
              <w:rPr>
                <w:rStyle w:val="SpecialBold"/>
              </w:rPr>
              <w:t>Plan for the management of a critical event</w:t>
            </w: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 xml:space="preserve">Work health and safety (WHS)/occupational health and safety (OHS) practices/procedures and environmental and sustainable energy procedures, which may influence the management of critical events, are reviewed </w:t>
            </w:r>
            <w:r w:rsidRPr="0079187C">
              <w:t>and determined</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18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Purpose of the management is established after data is analysed and expected outcomes of the work are confirmed with appropriate personnel</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18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Organisational established procedures on policies and specifications for the management of events are obtained or established with appropriate personnel</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18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Identification and testing procedures are discussed with/directed to appropriate personnel in or</w:t>
            </w:r>
            <w:r w:rsidRPr="0079187C">
              <w:t>der to ascertain the occurrence of a critical event</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18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Testing parameters are established from organisational established procedures on policies and specifications</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18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Equipment/tools and personal protective equipment (PPE) are selected based on spe</w:t>
            </w:r>
            <w:r w:rsidRPr="0079187C">
              <w:t>cified performance criteria and established procedures</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18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Work roles and tasks are allocated according to requirements and individual competencies</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18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Work is prioritised and sequenced for the most efficient/effective outcome, completed within an acceptable timeframe, to a quality standard and in accordance with established procedures</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18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Liaison and communication issues with others/authorised personn</w:t>
            </w:r>
            <w:r w:rsidRPr="0079187C">
              <w:t>el, authorities, clients and land owners are resolved and activities coordinated to carry out work</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18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Risk control measures are identified, prioritised and evaluated against the work schedule</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18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Relevant work permits are secured to coordinate the</w:t>
            </w:r>
            <w:r w:rsidRPr="0079187C">
              <w:t xml:space="preserve"> performance of work according to requirements and/or established procedures</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18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Action plan is developed</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9187C" w:rsidP="0079187C">
            <w:pPr>
              <w:pStyle w:val="BodyText"/>
            </w:pPr>
            <w:r w:rsidRPr="0079187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9187C" w:rsidP="0079187C">
            <w:pPr>
              <w:pStyle w:val="BodyText"/>
            </w:pPr>
            <w:r w:rsidRPr="0079187C">
              <w:rPr>
                <w:rStyle w:val="SpecialBold"/>
              </w:rPr>
              <w:t>Carry out the management of a critical event</w:t>
            </w: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Action plan is initiated and continually monitored to ensure outcomes are being met</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18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WHS/OHS and sustainable energy principles, functionality and practices to reduce the incidents of accidents and minimise waste are incorporated into the network fault solution in accordance with requirements and/or established procedures</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18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Network fau</w:t>
            </w:r>
            <w:r w:rsidRPr="0079187C">
              <w:t>lt management decisions are made on the basis of safety and effective outcomes according to requirements and/or established procedures</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18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Stakeholders/customers are kept informed of current status regarding plan progress and recent developments</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18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Technical advice is given regarding potential hazards, safety risks and control measures so that monitoring and preventative action can be undertaken and/or appropriate authorities consulted, where necessary, in accordance with requirements and established</w:t>
            </w:r>
            <w:r w:rsidRPr="0079187C">
              <w:t xml:space="preserve"> procedures</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18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Essential knowledge and associated skills are applied to analyse specific data and compare it with compliance specifications to ensure completion of the project within an agreed timeframe according to requirements</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18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Testing of criti</w:t>
            </w:r>
            <w:r w:rsidRPr="0079187C">
              <w:t>cal event management procedures is undertaken according to requirements and established procedures</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18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Work teams/groups are arranged/coordinated/evaluated to ensure planned goals are met according to established procedures</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18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Solutions to non-routine problems are identified and actioned using acquired essential knowledge and associated skills according to requirements</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18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Quality of work is monitored against personal performance agreement and/or established organisational a</w:t>
            </w:r>
            <w:r w:rsidRPr="0079187C">
              <w:t>nd professional standards</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18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Strategic plans are developed incorporating organisation initiatives in accordance with established procedures</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9187C" w:rsidP="0079187C">
            <w:pPr>
              <w:pStyle w:val="BodyText"/>
            </w:pPr>
            <w:r w:rsidRPr="0079187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9187C" w:rsidP="0079187C">
            <w:pPr>
              <w:pStyle w:val="BodyText"/>
            </w:pPr>
            <w:r w:rsidRPr="0079187C">
              <w:rPr>
                <w:rStyle w:val="SpecialBold"/>
              </w:rPr>
              <w:t>Complete the management of a critical event</w:t>
            </w: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Strategic plans are developed incorporating organisation ini</w:t>
            </w:r>
            <w:r w:rsidRPr="0079187C">
              <w:t>tiatives in accordance with established procedures</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18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 xml:space="preserve">Final review of the management procedures of the critical event is undertaken to ensure they comply with all requirements and include all specifications </w:t>
            </w:r>
            <w:r w:rsidRPr="0079187C">
              <w:t>and documentations needed to complete the project</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18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Appropriate personnel are notified of completion and reports and/or completion documents are finalised/commissioned</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18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t>Reports and/or completion documents are submitted to relevant personnel/orga</w:t>
            </w:r>
            <w:r w:rsidRPr="0079187C">
              <w:t>nisations for approval and, where applicable, statutory or regulatory approval</w:t>
            </w:r>
          </w:p>
        </w:tc>
      </w:tr>
      <w:tr w:rsidTr="007918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18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187C">
            <w:pPr>
              <w:pStyle w:val="BodyText"/>
              <w:rPr>
                <w:lang w:val="en-NZ"/>
              </w:rPr>
            </w:pPr>
            <w:r w:rsidRPr="0079187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79187C" w:rsidP="0079187C">
            <w:pPr>
              <w:pStyle w:val="BodyText"/>
            </w:pPr>
            <w:r w:rsidRPr="0079187C">
              <w:t>Approved copies of critical event management documents are issued and records are updated in accordance with established procedures</w:t>
            </w:r>
          </w:p>
        </w:tc>
      </w:tr>
    </w:tbl>
    <w:p w:rsidR="00000000" w:rsidRPr="0079187C" w:rsidP="0079187C">
      <w:pPr>
        <w:pStyle w:val="NoPaddingFontSize1"/>
      </w:pPr>
    </w:p>
    <w:p w:rsidR="00000000" w:rsidRPr="0079187C" w:rsidP="0079187C">
      <w:pPr>
        <w:pStyle w:val="AllowPageBreak"/>
      </w:pPr>
    </w:p>
    <w:p w:rsidR="00000000" w:rsidRPr="0079187C" w:rsidP="0079187C">
      <w:pPr>
        <w:pStyle w:val="Heading1"/>
      </w:pPr>
      <w:bookmarkStart w:id="7" w:name="O_1004802"/>
      <w:bookmarkEnd w:id="7"/>
      <w:r w:rsidRPr="0079187C">
        <w:t>Foundation Skills</w:t>
      </w:r>
    </w:p>
    <w:tbl>
      <w:tblPr>
        <w:tblW w:w="9497" w:type="dxa"/>
        <w:tblLayout w:type="fixed"/>
        <w:tblCellMar>
          <w:left w:w="62" w:type="dxa"/>
          <w:right w:w="62" w:type="dxa"/>
        </w:tblCellMar>
        <w:tblLook w:val="0000"/>
      </w:tblPr>
      <w:tblGrid>
        <w:gridCol w:w="9497"/>
      </w:tblGrid>
      <w:tr w:rsidTr="007918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87C" w:rsidP="0079187C">
            <w:pPr>
              <w:pStyle w:val="BodyText"/>
            </w:pPr>
            <w:r w:rsidRPr="0079187C">
              <w:t>Foundation skills essential to performance are explicit in the performance criteria of this unit of competency.</w:t>
            </w:r>
          </w:p>
        </w:tc>
      </w:tr>
    </w:tbl>
    <w:p w:rsidR="00000000" w:rsidRPr="0079187C" w:rsidP="0079187C">
      <w:pPr>
        <w:pStyle w:val="NoPaddingFontSize1"/>
      </w:pPr>
    </w:p>
    <w:p w:rsidR="00000000" w:rsidRPr="0079187C" w:rsidP="0079187C">
      <w:pPr>
        <w:pStyle w:val="AllowPageBreak"/>
      </w:pPr>
    </w:p>
    <w:p w:rsidR="00000000" w:rsidRPr="0079187C" w:rsidP="0079187C">
      <w:pPr>
        <w:pStyle w:val="Heading1"/>
      </w:pPr>
      <w:bookmarkStart w:id="8" w:name="O_1004803"/>
      <w:bookmarkEnd w:id="8"/>
      <w:r w:rsidRPr="0079187C">
        <w:t>Range of Conditions</w:t>
      </w:r>
    </w:p>
    <w:tbl>
      <w:tblPr>
        <w:tblW w:w="9497" w:type="dxa"/>
        <w:tblLayout w:type="fixed"/>
        <w:tblCellMar>
          <w:left w:w="62" w:type="dxa"/>
          <w:right w:w="62" w:type="dxa"/>
        </w:tblCellMar>
        <w:tblLook w:val="0000"/>
      </w:tblPr>
      <w:tblGrid>
        <w:gridCol w:w="9497"/>
      </w:tblGrid>
      <w:tr w:rsidTr="007918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87C" w:rsidP="0079187C">
            <w:pPr>
              <w:pStyle w:val="BodyText"/>
            </w:pPr>
            <w:r w:rsidRPr="0079187C">
              <w:t>Range is restricted to essential operating conditions and any other variables essential to the work en</w:t>
            </w:r>
            <w:r w:rsidRPr="0079187C">
              <w:t>vironment.</w:t>
            </w:r>
          </w:p>
          <w:p w:rsidR="00000000" w:rsidRPr="0079187C" w:rsidP="0079187C">
            <w:pPr>
              <w:pStyle w:val="BodyText"/>
            </w:pPr>
            <w:r w:rsidRPr="0079187C">
              <w:t>Non-essential conditions may be found in the Companion Volume Implementation Guide.</w:t>
            </w:r>
          </w:p>
        </w:tc>
      </w:tr>
    </w:tbl>
    <w:p w:rsidR="00000000" w:rsidRPr="0079187C" w:rsidP="0079187C">
      <w:pPr>
        <w:pStyle w:val="NoPaddingFontSize1"/>
      </w:pPr>
    </w:p>
    <w:p w:rsidR="00000000" w:rsidRPr="0079187C" w:rsidP="0079187C">
      <w:pPr>
        <w:pStyle w:val="AllowPageBreak"/>
      </w:pPr>
    </w:p>
    <w:p w:rsidR="00000000" w:rsidRPr="0079187C" w:rsidP="0079187C">
      <w:pPr>
        <w:pStyle w:val="Heading1"/>
      </w:pPr>
      <w:bookmarkStart w:id="9" w:name="O_1004804"/>
      <w:bookmarkEnd w:id="9"/>
      <w:r w:rsidRPr="0079187C">
        <w:t>Unit Mapping Information</w:t>
      </w:r>
    </w:p>
    <w:tbl>
      <w:tblPr>
        <w:tblW w:w="9497" w:type="dxa"/>
        <w:tblLayout w:type="fixed"/>
        <w:tblCellMar>
          <w:left w:w="62" w:type="dxa"/>
          <w:right w:w="62" w:type="dxa"/>
        </w:tblCellMar>
        <w:tblLook w:val="0000"/>
      </w:tblPr>
      <w:tblGrid>
        <w:gridCol w:w="9497"/>
      </w:tblGrid>
      <w:tr w:rsidTr="007918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87C" w:rsidP="0079187C">
            <w:pPr>
              <w:pStyle w:val="BodyText"/>
            </w:pPr>
            <w:r w:rsidRPr="0079187C">
              <w:t>This unit replaces and is equivalent to UETTDRSO33A Manage power systems critical events.</w:t>
            </w:r>
          </w:p>
        </w:tc>
      </w:tr>
    </w:tbl>
    <w:p w:rsidR="00000000" w:rsidRPr="0079187C" w:rsidP="0079187C">
      <w:pPr>
        <w:pStyle w:val="NoPaddingFontSize1"/>
      </w:pPr>
    </w:p>
    <w:p w:rsidR="00000000" w:rsidRPr="0079187C" w:rsidP="0079187C">
      <w:pPr>
        <w:pStyle w:val="AllowPageBreak"/>
      </w:pPr>
    </w:p>
    <w:p w:rsidR="00000000" w:rsidRPr="0079187C" w:rsidP="0079187C">
      <w:pPr>
        <w:pStyle w:val="Heading1"/>
      </w:pPr>
      <w:bookmarkStart w:id="10" w:name="O_1004811"/>
      <w:bookmarkEnd w:id="10"/>
      <w:r w:rsidRPr="0079187C">
        <w:t>Link</w:t>
      </w:r>
      <w:r w:rsidRPr="0079187C">
        <w:t>s</w:t>
      </w:r>
    </w:p>
    <w:p w:rsidR="00000000" w:rsidRPr="0079187C" w:rsidP="00812417">
      <w:pPr>
        <w:pStyle w:val="BodyText"/>
      </w:pPr>
      <w:r w:rsidRPr="0079187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D35F46">
        <w:rPr>
          <w:rStyle w:val="Hyperlink"/>
        </w:rPr>
        <w:t>https://vetnet.gov.au/Pages/TrainingDocs.aspx?q=229bace1-b7bc-4653-9300-dffb13ecfad7</w:t>
      </w:r>
      <w:r>
        <w:fldChar w:fldCharType="end"/>
      </w:r>
    </w:p>
    <w:p w:rsidR="00000000" w:rsidRPr="0079187C" w:rsidP="0079187C"/>
    <w:sectPr w:rsidSect="007918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7C" w:rsidRPr="00812417" w:rsidP="008124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417" w:rsidP="007918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12417" w:rsidP="0079187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12417" w:rsidP="007918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4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187C" w:rsidRPr="00812417" w:rsidP="008124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417" w:rsidRPr="002D2AF8" w:rsidP="0079187C">
    <w:pPr>
      <w:pStyle w:val="Header"/>
      <w:framePr w:wrap="around"/>
    </w:pPr>
    <w:r>
      <w:fldChar w:fldCharType="begin"/>
    </w:r>
    <w:r>
      <w:instrText xml:space="preserve"> TITLE   \* MERGEFORMAT </w:instrText>
    </w:r>
    <w:r>
      <w:fldChar w:fldCharType="separate"/>
    </w:r>
    <w:r>
      <w:t>UETTDRSO33 Manage power systems critical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2021</w:t>
    </w:r>
    <w:r>
      <w:fldChar w:fldCharType="end"/>
    </w:r>
  </w:p>
  <w:p w:rsidR="00812417" w:rsidP="007918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8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187C"/>
    <w:pPr>
      <w:spacing w:before="360" w:after="60"/>
      <w:outlineLvl w:val="0"/>
    </w:pPr>
    <w:rPr>
      <w:sz w:val="32"/>
    </w:rPr>
  </w:style>
  <w:style w:type="paragraph" w:styleId="Heading2">
    <w:name w:val="heading 2"/>
    <w:basedOn w:val="HeadingBase"/>
    <w:next w:val="BodyText"/>
    <w:link w:val="Heading2Char"/>
    <w:qFormat/>
    <w:rsid w:val="0079187C"/>
    <w:pPr>
      <w:keepLines/>
      <w:spacing w:before="240" w:after="120"/>
      <w:outlineLvl w:val="1"/>
    </w:pPr>
    <w:rPr>
      <w:sz w:val="28"/>
      <w:szCs w:val="40"/>
    </w:rPr>
  </w:style>
  <w:style w:type="paragraph" w:styleId="Heading3">
    <w:name w:val="heading 3"/>
    <w:basedOn w:val="HeadingBase"/>
    <w:next w:val="BodyText"/>
    <w:link w:val="Heading3Char"/>
    <w:qFormat/>
    <w:rsid w:val="0079187C"/>
    <w:pPr>
      <w:spacing w:before="180" w:after="120"/>
      <w:outlineLvl w:val="2"/>
    </w:pPr>
    <w:rPr>
      <w:spacing w:val="-10"/>
      <w:kern w:val="32"/>
    </w:rPr>
  </w:style>
  <w:style w:type="paragraph" w:styleId="Heading4">
    <w:name w:val="heading 4"/>
    <w:basedOn w:val="HeadingBase"/>
    <w:next w:val="BodyText"/>
    <w:link w:val="Heading4Char"/>
    <w:qFormat/>
    <w:rsid w:val="0079187C"/>
    <w:pPr>
      <w:spacing w:before="160" w:after="120"/>
      <w:outlineLvl w:val="3"/>
    </w:pPr>
    <w:rPr>
      <w:sz w:val="22"/>
    </w:rPr>
  </w:style>
  <w:style w:type="paragraph" w:styleId="Heading5">
    <w:name w:val="heading 5"/>
    <w:basedOn w:val="HeadingBase"/>
    <w:next w:val="Normal"/>
    <w:link w:val="Heading5Char"/>
    <w:qFormat/>
    <w:rsid w:val="0079187C"/>
    <w:pPr>
      <w:spacing w:before="80"/>
      <w:outlineLvl w:val="4"/>
    </w:pPr>
    <w:rPr>
      <w:color w:val="918585"/>
      <w:sz w:val="20"/>
    </w:rPr>
  </w:style>
  <w:style w:type="paragraph" w:styleId="Heading6">
    <w:name w:val="heading 6"/>
    <w:basedOn w:val="HeadingBase"/>
    <w:next w:val="Normal"/>
    <w:link w:val="Heading6Char"/>
    <w:qFormat/>
    <w:rsid w:val="0079187C"/>
    <w:pPr>
      <w:spacing w:before="60"/>
      <w:outlineLvl w:val="5"/>
    </w:pPr>
    <w:rPr>
      <w:color w:val="918585"/>
      <w:sz w:val="20"/>
    </w:rPr>
  </w:style>
  <w:style w:type="paragraph" w:styleId="Heading7">
    <w:name w:val="heading 7"/>
    <w:basedOn w:val="Normal"/>
    <w:next w:val="Normal"/>
    <w:link w:val="Heading7Char"/>
    <w:qFormat/>
    <w:rsid w:val="0079187C"/>
    <w:pPr>
      <w:ind w:left="720"/>
      <w:outlineLvl w:val="6"/>
    </w:pPr>
    <w:rPr>
      <w:i/>
    </w:rPr>
  </w:style>
  <w:style w:type="paragraph" w:styleId="Heading8">
    <w:name w:val="heading 8"/>
    <w:basedOn w:val="Normal"/>
    <w:next w:val="Normal"/>
    <w:link w:val="Heading8Char"/>
    <w:qFormat/>
    <w:rsid w:val="0079187C"/>
    <w:pPr>
      <w:ind w:left="720"/>
      <w:outlineLvl w:val="7"/>
    </w:pPr>
    <w:rPr>
      <w:i/>
    </w:rPr>
  </w:style>
  <w:style w:type="paragraph" w:styleId="Heading9">
    <w:name w:val="heading 9"/>
    <w:basedOn w:val="Normal"/>
    <w:next w:val="Normal"/>
    <w:link w:val="Heading9Char"/>
    <w:qFormat/>
    <w:rsid w:val="0079187C"/>
    <w:pPr>
      <w:ind w:left="720"/>
      <w:outlineLvl w:val="8"/>
    </w:pPr>
    <w:rPr>
      <w:i/>
    </w:rPr>
  </w:style>
  <w:style w:type="character" w:default="1" w:styleId="DefaultParagraphFont">
    <w:name w:val="Default Paragraph Font"/>
    <w:uiPriority w:val="1"/>
    <w:unhideWhenUsed/>
    <w:rsid w:val="007918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87C"/>
  </w:style>
  <w:style w:type="character" w:customStyle="1" w:styleId="Heading1Char">
    <w:name w:val="Heading 1 Char"/>
    <w:basedOn w:val="DefaultParagraphFont"/>
    <w:link w:val="Heading1"/>
    <w:rsid w:val="0079187C"/>
    <w:rPr>
      <w:rFonts w:ascii="Times New Roman" w:eastAsia="Times New Roman" w:hAnsi="Times New Roman" w:cs="Times New Roman"/>
      <w:b/>
      <w:sz w:val="32"/>
      <w:szCs w:val="20"/>
      <w:lang w:eastAsia="en-US"/>
    </w:rPr>
  </w:style>
  <w:style w:type="paragraph" w:styleId="BodyText">
    <w:name w:val="Body Text"/>
    <w:basedOn w:val="Normal"/>
    <w:link w:val="BodyTextChar"/>
    <w:rsid w:val="007918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187C"/>
    <w:rPr>
      <w:rFonts w:ascii="Times New Roman" w:eastAsia="Times New Roman" w:hAnsi="Times New Roman" w:cs="Times New Roman"/>
      <w:sz w:val="24"/>
      <w:lang w:eastAsia="en-US"/>
    </w:rPr>
  </w:style>
  <w:style w:type="character" w:customStyle="1" w:styleId="SpecialBold">
    <w:name w:val="Special Bold"/>
    <w:basedOn w:val="DefaultParagraphFont"/>
    <w:rsid w:val="0079187C"/>
    <w:rPr>
      <w:b/>
      <w:spacing w:val="0"/>
    </w:rPr>
  </w:style>
  <w:style w:type="paragraph" w:customStyle="1" w:styleId="SuperHeading">
    <w:name w:val="SuperHeading"/>
    <w:basedOn w:val="Normal"/>
    <w:rsid w:val="0079187C"/>
    <w:pPr>
      <w:spacing w:before="240" w:after="120"/>
      <w:outlineLvl w:val="0"/>
    </w:pPr>
    <w:rPr>
      <w:rFonts w:ascii="Times New Roman" w:hAnsi="Times New Roman"/>
      <w:b/>
      <w:sz w:val="32"/>
    </w:rPr>
  </w:style>
  <w:style w:type="paragraph" w:customStyle="1" w:styleId="AllowPageBreak">
    <w:name w:val="AllowPageBreak"/>
    <w:rsid w:val="007918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918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18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18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18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18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18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18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187C"/>
    <w:rPr>
      <w:rFonts w:ascii="Courier New" w:eastAsia="Times New Roman" w:hAnsi="Courier New" w:cs="Times New Roman"/>
      <w:i/>
      <w:szCs w:val="20"/>
      <w:lang w:eastAsia="en-US"/>
    </w:rPr>
  </w:style>
  <w:style w:type="paragraph" w:customStyle="1" w:styleId="HeadingBase">
    <w:name w:val="Heading Base"/>
    <w:rsid w:val="007918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187C"/>
    <w:pPr>
      <w:tabs>
        <w:tab w:val="right" w:leader="dot" w:pos="9072"/>
      </w:tabs>
      <w:ind w:left="567"/>
    </w:pPr>
    <w:rPr>
      <w:szCs w:val="22"/>
    </w:rPr>
  </w:style>
  <w:style w:type="paragraph" w:customStyle="1" w:styleId="TOCBase">
    <w:name w:val="TOC Base"/>
    <w:rsid w:val="007918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187C"/>
    <w:pPr>
      <w:tabs>
        <w:tab w:val="right" w:leader="dot" w:pos="9072"/>
      </w:tabs>
      <w:spacing w:before="40" w:after="40"/>
      <w:ind w:left="284"/>
    </w:pPr>
    <w:rPr>
      <w:rFonts w:ascii="Times New Roman" w:hAnsi="Times New Roman"/>
    </w:rPr>
  </w:style>
  <w:style w:type="paragraph" w:styleId="TOC1">
    <w:name w:val="toc 1"/>
    <w:basedOn w:val="TOCBase"/>
    <w:next w:val="Normal"/>
    <w:rsid w:val="007918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18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187C"/>
    <w:rPr>
      <w:rFonts w:ascii="Times New Roman" w:eastAsia="Times New Roman" w:hAnsi="Times New Roman" w:cs="Times New Roman"/>
      <w:sz w:val="16"/>
      <w:lang w:eastAsia="en-US"/>
    </w:rPr>
  </w:style>
  <w:style w:type="paragraph" w:styleId="Title">
    <w:name w:val="Title"/>
    <w:basedOn w:val="HeadingBase"/>
    <w:link w:val="TitleChar"/>
    <w:qFormat/>
    <w:rsid w:val="0079187C"/>
    <w:pPr>
      <w:spacing w:before="5040"/>
      <w:jc w:val="center"/>
    </w:pPr>
    <w:rPr>
      <w:sz w:val="48"/>
      <w:szCs w:val="72"/>
      <w:lang w:val="en-US"/>
    </w:rPr>
  </w:style>
  <w:style w:type="character" w:customStyle="1" w:styleId="TitleChar">
    <w:name w:val="Title Char"/>
    <w:basedOn w:val="DefaultParagraphFont"/>
    <w:link w:val="Title"/>
    <w:rsid w:val="007918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187C"/>
    <w:pPr>
      <w:tabs>
        <w:tab w:val="left" w:pos="3600"/>
        <w:tab w:val="left" w:pos="3958"/>
      </w:tabs>
    </w:pPr>
  </w:style>
  <w:style w:type="paragraph" w:styleId="List">
    <w:name w:val="List"/>
    <w:basedOn w:val="BodyText"/>
    <w:next w:val="BodyText"/>
    <w:rsid w:val="0079187C"/>
    <w:pPr>
      <w:tabs>
        <w:tab w:val="left" w:pos="340"/>
      </w:tabs>
      <w:spacing w:before="60" w:after="60"/>
      <w:ind w:left="340" w:hanging="340"/>
    </w:pPr>
  </w:style>
  <w:style w:type="paragraph" w:styleId="ListBullet">
    <w:name w:val="List Bullet"/>
    <w:basedOn w:val="List"/>
    <w:rsid w:val="0079187C"/>
    <w:pPr>
      <w:numPr>
        <w:numId w:val="10"/>
      </w:numPr>
      <w:tabs>
        <w:tab w:val="clear" w:pos="340"/>
      </w:tabs>
      <w:spacing w:before="40" w:after="40"/>
    </w:pPr>
  </w:style>
  <w:style w:type="paragraph" w:customStyle="1" w:styleId="Note">
    <w:name w:val="Note"/>
    <w:basedOn w:val="BodyText"/>
    <w:rsid w:val="007918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187C"/>
    <w:pPr>
      <w:framePr w:wrap="auto" w:hAnchor="text" w:y="6049"/>
    </w:pPr>
    <w:rPr>
      <w:color w:val="000000"/>
      <w:sz w:val="40"/>
    </w:rPr>
  </w:style>
  <w:style w:type="paragraph" w:customStyle="1" w:styleId="TOCTitle">
    <w:name w:val="TOCTitle"/>
    <w:basedOn w:val="Heading1"/>
    <w:rsid w:val="0079187C"/>
    <w:pPr>
      <w:spacing w:after="240"/>
      <w:jc w:val="center"/>
      <w:outlineLvl w:val="9"/>
    </w:pPr>
    <w:rPr>
      <w:caps/>
    </w:rPr>
  </w:style>
  <w:style w:type="paragraph" w:customStyle="1" w:styleId="Version">
    <w:name w:val="Version"/>
    <w:rsid w:val="007918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187C"/>
    <w:pPr>
      <w:numPr>
        <w:numId w:val="11"/>
      </w:numPr>
      <w:tabs>
        <w:tab w:val="clear" w:pos="680"/>
      </w:tabs>
    </w:pPr>
  </w:style>
  <w:style w:type="paragraph" w:styleId="Index1">
    <w:name w:val="index 1"/>
    <w:basedOn w:val="Normal"/>
    <w:next w:val="Normal"/>
    <w:semiHidden/>
    <w:rsid w:val="0079187C"/>
    <w:pPr>
      <w:keepNext w:val="0"/>
      <w:tabs>
        <w:tab w:val="right" w:pos="4176"/>
      </w:tabs>
      <w:ind w:left="198" w:hanging="198"/>
    </w:pPr>
    <w:rPr>
      <w:rFonts w:ascii="Garamond" w:hAnsi="Garamond"/>
    </w:rPr>
  </w:style>
  <w:style w:type="paragraph" w:styleId="IndexHeading">
    <w:name w:val="index heading"/>
    <w:basedOn w:val="Normal"/>
    <w:next w:val="Index1"/>
    <w:semiHidden/>
    <w:rsid w:val="0079187C"/>
    <w:pPr>
      <w:spacing w:before="120" w:after="120"/>
    </w:pPr>
    <w:rPr>
      <w:rFonts w:ascii="Arial" w:hAnsi="Arial"/>
      <w:b/>
      <w:color w:val="918585"/>
      <w:sz w:val="24"/>
    </w:rPr>
  </w:style>
  <w:style w:type="paragraph" w:styleId="Header">
    <w:name w:val="header"/>
    <w:basedOn w:val="Normal"/>
    <w:link w:val="HeaderChar"/>
    <w:rsid w:val="007918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187C"/>
    <w:rPr>
      <w:rFonts w:ascii="Times New Roman" w:eastAsia="Times New Roman" w:hAnsi="Times New Roman" w:cs="Times New Roman"/>
      <w:sz w:val="16"/>
      <w:szCs w:val="20"/>
      <w:lang w:val="en-GB" w:eastAsia="en-US"/>
    </w:rPr>
  </w:style>
  <w:style w:type="paragraph" w:customStyle="1" w:styleId="Chapter">
    <w:name w:val="Chapter"/>
    <w:basedOn w:val="Normal"/>
    <w:rsid w:val="0079187C"/>
    <w:pPr>
      <w:spacing w:before="240"/>
    </w:pPr>
    <w:rPr>
      <w:rFonts w:ascii="Times New Roman" w:hAnsi="Times New Roman"/>
      <w:smallCaps/>
      <w:spacing w:val="80"/>
      <w:sz w:val="28"/>
    </w:rPr>
  </w:style>
  <w:style w:type="paragraph" w:customStyle="1" w:styleId="InChapter">
    <w:name w:val="InChapter"/>
    <w:basedOn w:val="Heading3"/>
    <w:rsid w:val="0079187C"/>
    <w:pPr>
      <w:spacing w:after="240"/>
      <w:outlineLvl w:val="9"/>
    </w:pPr>
    <w:rPr>
      <w:noProof/>
    </w:rPr>
  </w:style>
  <w:style w:type="paragraph" w:styleId="Index2">
    <w:name w:val="index 2"/>
    <w:basedOn w:val="Normal"/>
    <w:next w:val="Normal"/>
    <w:semiHidden/>
    <w:rsid w:val="0079187C"/>
    <w:pPr>
      <w:tabs>
        <w:tab w:val="right" w:pos="4176"/>
      </w:tabs>
      <w:ind w:left="568" w:hanging="284"/>
    </w:pPr>
    <w:rPr>
      <w:rFonts w:ascii="Garamond" w:hAnsi="Garamond"/>
    </w:rPr>
  </w:style>
  <w:style w:type="paragraph" w:customStyle="1" w:styleId="Byline">
    <w:name w:val="Byline"/>
    <w:rsid w:val="007918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187C"/>
    <w:pPr>
      <w:tabs>
        <w:tab w:val="clear" w:pos="3600"/>
        <w:tab w:val="clear" w:pos="3958"/>
      </w:tabs>
      <w:jc w:val="right"/>
    </w:pPr>
  </w:style>
  <w:style w:type="character" w:styleId="Emphasis">
    <w:name w:val="Emphasis"/>
    <w:basedOn w:val="DefaultParagraphFont"/>
    <w:qFormat/>
    <w:rsid w:val="0079187C"/>
    <w:rPr>
      <w:i/>
    </w:rPr>
  </w:style>
  <w:style w:type="paragraph" w:styleId="Caption">
    <w:name w:val="caption"/>
    <w:basedOn w:val="BodyText"/>
    <w:next w:val="Normal"/>
    <w:qFormat/>
    <w:rsid w:val="0079187C"/>
    <w:pPr>
      <w:framePr w:w="2268" w:hSpace="181" w:vSpace="181" w:wrap="around" w:vAnchor="text" w:hAnchor="page" w:x="1135" w:y="285" w:anchorLock="1"/>
    </w:pPr>
    <w:rPr>
      <w:i/>
    </w:rPr>
  </w:style>
  <w:style w:type="paragraph" w:customStyle="1" w:styleId="MiniTOCTitle">
    <w:name w:val="MiniTOCTitle"/>
    <w:basedOn w:val="Heading4"/>
    <w:rsid w:val="0079187C"/>
    <w:pPr>
      <w:spacing w:before="240"/>
      <w:outlineLvl w:val="9"/>
    </w:pPr>
    <w:rPr>
      <w:noProof/>
      <w:sz w:val="24"/>
    </w:rPr>
  </w:style>
  <w:style w:type="paragraph" w:customStyle="1" w:styleId="MiniTOCItem">
    <w:name w:val="MiniTOCItem"/>
    <w:basedOn w:val="ListBullet"/>
    <w:rsid w:val="0079187C"/>
    <w:pPr>
      <w:numPr>
        <w:numId w:val="0"/>
      </w:numPr>
      <w:tabs>
        <w:tab w:val="right" w:leader="dot" w:pos="6521"/>
      </w:tabs>
      <w:spacing w:before="0" w:after="0"/>
    </w:pPr>
  </w:style>
  <w:style w:type="paragraph" w:customStyle="1" w:styleId="TOFTitle">
    <w:name w:val="TOFTitle"/>
    <w:basedOn w:val="TOCTitle"/>
    <w:rsid w:val="0079187C"/>
  </w:style>
  <w:style w:type="paragraph" w:styleId="TableofFigures">
    <w:name w:val="table of figures"/>
    <w:basedOn w:val="Normal"/>
    <w:next w:val="Normal"/>
    <w:semiHidden/>
    <w:rsid w:val="0079187C"/>
    <w:pPr>
      <w:tabs>
        <w:tab w:val="right" w:leader="dot" w:pos="9072"/>
      </w:tabs>
      <w:ind w:left="970" w:hanging="403"/>
    </w:pPr>
    <w:rPr>
      <w:rFonts w:ascii="Times New Roman" w:hAnsi="Times New Roman"/>
      <w:b/>
    </w:rPr>
  </w:style>
  <w:style w:type="paragraph" w:styleId="ListNumber">
    <w:name w:val="List Number"/>
    <w:basedOn w:val="List"/>
    <w:rsid w:val="0079187C"/>
    <w:pPr>
      <w:numPr>
        <w:numId w:val="13"/>
      </w:numPr>
      <w:tabs>
        <w:tab w:val="clear" w:pos="340"/>
      </w:tabs>
    </w:pPr>
  </w:style>
  <w:style w:type="character" w:customStyle="1" w:styleId="WingdingSymbols">
    <w:name w:val="Wingding Symbols"/>
    <w:rsid w:val="0079187C"/>
    <w:rPr>
      <w:rFonts w:ascii="Wingdings" w:hAnsi="Wingdings"/>
    </w:rPr>
  </w:style>
  <w:style w:type="paragraph" w:customStyle="1" w:styleId="TableHeading">
    <w:name w:val="Table Heading"/>
    <w:basedOn w:val="HeadingBase"/>
    <w:rsid w:val="0079187C"/>
    <w:pPr>
      <w:keepLines/>
      <w:pBdr>
        <w:bottom w:val="single" w:sz="6" w:space="1" w:color="918585"/>
      </w:pBdr>
      <w:spacing w:before="240"/>
    </w:pPr>
  </w:style>
  <w:style w:type="character" w:customStyle="1" w:styleId="HotSpot">
    <w:name w:val="HotSpot"/>
    <w:rsid w:val="0079187C"/>
    <w:rPr>
      <w:color w:val="0033CC"/>
      <w:u w:val="none"/>
    </w:rPr>
  </w:style>
  <w:style w:type="paragraph" w:customStyle="1" w:styleId="BodyTextRight">
    <w:name w:val="Body Text Right"/>
    <w:basedOn w:val="BodyText"/>
    <w:rsid w:val="0079187C"/>
    <w:pPr>
      <w:spacing w:before="0" w:after="0"/>
      <w:jc w:val="right"/>
    </w:pPr>
  </w:style>
  <w:style w:type="paragraph" w:styleId="Index3">
    <w:name w:val="index 3"/>
    <w:basedOn w:val="ListNumber2"/>
    <w:next w:val="Normal"/>
    <w:semiHidden/>
    <w:rsid w:val="0079187C"/>
    <w:pPr>
      <w:numPr>
        <w:numId w:val="0"/>
      </w:numPr>
      <w:tabs>
        <w:tab w:val="right" w:leader="dot" w:pos="4176"/>
      </w:tabs>
    </w:pPr>
  </w:style>
  <w:style w:type="paragraph" w:styleId="ListNumber2">
    <w:name w:val="List Number 2"/>
    <w:basedOn w:val="List2"/>
    <w:rsid w:val="0079187C"/>
    <w:pPr>
      <w:numPr>
        <w:numId w:val="8"/>
      </w:numPr>
      <w:tabs>
        <w:tab w:val="clear" w:pos="1060"/>
      </w:tabs>
    </w:pPr>
  </w:style>
  <w:style w:type="paragraph" w:customStyle="1" w:styleId="MarginNote">
    <w:name w:val="Margin Note"/>
    <w:basedOn w:val="BodyText"/>
    <w:rsid w:val="007918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18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18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187C"/>
    <w:rPr>
      <w:sz w:val="32"/>
    </w:rPr>
  </w:style>
  <w:style w:type="paragraph" w:customStyle="1" w:styleId="HeadingProcedure">
    <w:name w:val="Heading Procedure"/>
    <w:basedOn w:val="HeadingBase"/>
    <w:next w:val="Normal"/>
    <w:rsid w:val="0079187C"/>
    <w:pPr>
      <w:tabs>
        <w:tab w:val="left" w:pos="0"/>
      </w:tabs>
      <w:spacing w:before="120" w:after="60"/>
    </w:pPr>
    <w:rPr>
      <w:i/>
      <w:color w:val="918585"/>
      <w:sz w:val="22"/>
    </w:rPr>
  </w:style>
  <w:style w:type="paragraph" w:customStyle="1" w:styleId="TableBodyText">
    <w:name w:val="Table Body Text"/>
    <w:basedOn w:val="BodyText"/>
    <w:rsid w:val="0079187C"/>
    <w:pPr>
      <w:spacing w:before="60" w:after="60"/>
    </w:pPr>
  </w:style>
  <w:style w:type="paragraph" w:styleId="ListContinue">
    <w:name w:val="List Continue"/>
    <w:basedOn w:val="List"/>
    <w:rsid w:val="0079187C"/>
    <w:pPr>
      <w:ind w:firstLine="0"/>
    </w:pPr>
  </w:style>
  <w:style w:type="paragraph" w:customStyle="1" w:styleId="ListNote">
    <w:name w:val="List Note"/>
    <w:basedOn w:val="List"/>
    <w:rsid w:val="0079187C"/>
    <w:pPr>
      <w:pBdr>
        <w:top w:val="single" w:sz="6" w:space="2" w:color="918585"/>
        <w:bottom w:val="single" w:sz="6" w:space="2" w:color="918585"/>
      </w:pBdr>
      <w:tabs>
        <w:tab w:val="left" w:pos="1021"/>
      </w:tabs>
      <w:ind w:firstLine="0"/>
    </w:pPr>
  </w:style>
  <w:style w:type="paragraph" w:customStyle="1" w:styleId="Warning">
    <w:name w:val="Warning"/>
    <w:basedOn w:val="BodyText"/>
    <w:rsid w:val="0079187C"/>
    <w:pPr>
      <w:shd w:val="clear" w:color="auto" w:fill="D9D9D9"/>
      <w:tabs>
        <w:tab w:val="left" w:pos="992"/>
      </w:tabs>
      <w:ind w:left="119" w:right="119"/>
    </w:pPr>
    <w:rPr>
      <w:sz w:val="20"/>
    </w:rPr>
  </w:style>
  <w:style w:type="paragraph" w:customStyle="1" w:styleId="MarginIcons">
    <w:name w:val="Margin Icons"/>
    <w:basedOn w:val="BodyText"/>
    <w:rsid w:val="007918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187C"/>
    <w:rPr>
      <w:rFonts w:ascii="Courier New" w:hAnsi="Courier New"/>
    </w:rPr>
  </w:style>
  <w:style w:type="paragraph" w:customStyle="1" w:styleId="NoteBullet">
    <w:name w:val="Note Bullet"/>
    <w:basedOn w:val="Note"/>
    <w:rsid w:val="0079187C"/>
    <w:pPr>
      <w:tabs>
        <w:tab w:val="clear" w:pos="680"/>
      </w:tabs>
      <w:spacing w:before="60" w:after="60"/>
    </w:pPr>
  </w:style>
  <w:style w:type="paragraph" w:customStyle="1" w:styleId="SubHeading2">
    <w:name w:val="SubHeading2"/>
    <w:basedOn w:val="HeadingBase"/>
    <w:rsid w:val="0079187C"/>
    <w:pPr>
      <w:spacing w:before="240" w:after="60"/>
    </w:pPr>
    <w:rPr>
      <w:sz w:val="20"/>
    </w:rPr>
  </w:style>
  <w:style w:type="paragraph" w:customStyle="1" w:styleId="SubHeading1">
    <w:name w:val="SubHeading1"/>
    <w:basedOn w:val="HeadingBase"/>
    <w:rsid w:val="0079187C"/>
    <w:pPr>
      <w:spacing w:before="240" w:after="60"/>
    </w:pPr>
    <w:rPr>
      <w:color w:val="918585"/>
      <w:sz w:val="22"/>
    </w:rPr>
  </w:style>
  <w:style w:type="paragraph" w:customStyle="1" w:styleId="SideHeading">
    <w:name w:val="Side Heading"/>
    <w:basedOn w:val="HeadingBase"/>
    <w:rsid w:val="007918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187C"/>
    <w:pPr>
      <w:numPr>
        <w:numId w:val="9"/>
      </w:numPr>
    </w:pPr>
  </w:style>
  <w:style w:type="paragraph" w:styleId="PlainText">
    <w:name w:val="Plain Text"/>
    <w:basedOn w:val="Normal"/>
    <w:link w:val="PlainTextChar"/>
    <w:rsid w:val="0079187C"/>
    <w:rPr>
      <w:sz w:val="20"/>
    </w:rPr>
  </w:style>
  <w:style w:type="character" w:customStyle="1" w:styleId="PlainTextChar">
    <w:name w:val="Plain Text Char"/>
    <w:basedOn w:val="DefaultParagraphFont"/>
    <w:link w:val="PlainText"/>
    <w:rsid w:val="0079187C"/>
    <w:rPr>
      <w:rFonts w:ascii="Courier New" w:eastAsia="Times New Roman" w:hAnsi="Courier New" w:cs="Times New Roman"/>
      <w:sz w:val="20"/>
      <w:szCs w:val="20"/>
      <w:lang w:eastAsia="en-US"/>
    </w:rPr>
  </w:style>
  <w:style w:type="character" w:customStyle="1" w:styleId="MenuOption">
    <w:name w:val="Menu Option"/>
    <w:basedOn w:val="DefaultParagraphFont"/>
    <w:rsid w:val="0079187C"/>
    <w:rPr>
      <w:b/>
      <w:smallCaps/>
    </w:rPr>
  </w:style>
  <w:style w:type="paragraph" w:customStyle="1" w:styleId="TableListNumber">
    <w:name w:val="Table List Number"/>
    <w:basedOn w:val="ListNumber"/>
    <w:rsid w:val="0079187C"/>
    <w:pPr>
      <w:numPr>
        <w:numId w:val="0"/>
      </w:numPr>
    </w:pPr>
  </w:style>
  <w:style w:type="paragraph" w:styleId="TOC4">
    <w:name w:val="toc 4"/>
    <w:basedOn w:val="TOCBase"/>
    <w:next w:val="Normal"/>
    <w:semiHidden/>
    <w:rsid w:val="0079187C"/>
    <w:pPr>
      <w:tabs>
        <w:tab w:val="right" w:leader="dot" w:pos="9071"/>
      </w:tabs>
      <w:ind w:left="1701"/>
    </w:pPr>
  </w:style>
  <w:style w:type="paragraph" w:customStyle="1" w:styleId="ListAlpha">
    <w:name w:val="List Alpha"/>
    <w:basedOn w:val="List"/>
    <w:rsid w:val="0079187C"/>
    <w:pPr>
      <w:numPr>
        <w:numId w:val="7"/>
      </w:numPr>
    </w:pPr>
  </w:style>
  <w:style w:type="paragraph" w:customStyle="1" w:styleId="ListAlpha2">
    <w:name w:val="List Alpha 2"/>
    <w:basedOn w:val="List2"/>
    <w:rsid w:val="0079187C"/>
    <w:pPr>
      <w:numPr>
        <w:numId w:val="6"/>
      </w:numPr>
    </w:pPr>
  </w:style>
  <w:style w:type="paragraph" w:styleId="List2">
    <w:name w:val="List 2"/>
    <w:basedOn w:val="BodyText"/>
    <w:rsid w:val="0079187C"/>
    <w:pPr>
      <w:tabs>
        <w:tab w:val="left" w:pos="680"/>
      </w:tabs>
      <w:spacing w:before="60" w:after="60"/>
      <w:ind w:left="680" w:hanging="340"/>
    </w:pPr>
  </w:style>
  <w:style w:type="paragraph" w:styleId="List3">
    <w:name w:val="List 3"/>
    <w:basedOn w:val="BodyText"/>
    <w:rsid w:val="0079187C"/>
    <w:pPr>
      <w:tabs>
        <w:tab w:val="left" w:pos="1021"/>
      </w:tabs>
      <w:spacing w:before="60" w:after="60"/>
      <w:ind w:left="1020" w:hanging="340"/>
    </w:pPr>
  </w:style>
  <w:style w:type="paragraph" w:styleId="List4">
    <w:name w:val="List 4"/>
    <w:basedOn w:val="BodyText"/>
    <w:rsid w:val="0079187C"/>
    <w:pPr>
      <w:tabs>
        <w:tab w:val="left" w:pos="1361"/>
      </w:tabs>
      <w:spacing w:before="60" w:after="60"/>
      <w:ind w:left="1361" w:hanging="340"/>
    </w:pPr>
  </w:style>
  <w:style w:type="paragraph" w:styleId="List5">
    <w:name w:val="List 5"/>
    <w:basedOn w:val="BodyText"/>
    <w:rsid w:val="0079187C"/>
    <w:pPr>
      <w:tabs>
        <w:tab w:val="left" w:pos="1701"/>
      </w:tabs>
      <w:spacing w:before="60" w:after="60"/>
      <w:ind w:left="1701" w:hanging="340"/>
    </w:pPr>
  </w:style>
  <w:style w:type="paragraph" w:styleId="ListBullet3">
    <w:name w:val="List Bullet 3"/>
    <w:basedOn w:val="List3"/>
    <w:rsid w:val="0079187C"/>
    <w:pPr>
      <w:numPr>
        <w:numId w:val="12"/>
      </w:numPr>
      <w:tabs>
        <w:tab w:val="clear" w:pos="1021"/>
      </w:tabs>
      <w:ind w:left="1037" w:hanging="357"/>
    </w:pPr>
  </w:style>
  <w:style w:type="paragraph" w:styleId="ListBullet4">
    <w:name w:val="List Bullet 4"/>
    <w:basedOn w:val="List4"/>
    <w:rsid w:val="0079187C"/>
    <w:pPr>
      <w:numPr>
        <w:numId w:val="1"/>
      </w:numPr>
      <w:tabs>
        <w:tab w:val="clear" w:pos="1361"/>
      </w:tabs>
    </w:pPr>
  </w:style>
  <w:style w:type="paragraph" w:styleId="ListBullet5">
    <w:name w:val="List Bullet 5"/>
    <w:basedOn w:val="List5"/>
    <w:rsid w:val="0079187C"/>
    <w:pPr>
      <w:numPr>
        <w:numId w:val="2"/>
      </w:numPr>
    </w:pPr>
  </w:style>
  <w:style w:type="paragraph" w:styleId="ListContinue2">
    <w:name w:val="List Continue 2"/>
    <w:basedOn w:val="List2"/>
    <w:rsid w:val="0079187C"/>
    <w:pPr>
      <w:ind w:firstLine="0"/>
    </w:pPr>
  </w:style>
  <w:style w:type="paragraph" w:styleId="ListContinue3">
    <w:name w:val="List Continue 3"/>
    <w:basedOn w:val="List3"/>
    <w:rsid w:val="0079187C"/>
    <w:pPr>
      <w:ind w:left="1021" w:firstLine="0"/>
    </w:pPr>
  </w:style>
  <w:style w:type="paragraph" w:styleId="ListContinue4">
    <w:name w:val="List Continue 4"/>
    <w:basedOn w:val="List4"/>
    <w:rsid w:val="0079187C"/>
    <w:pPr>
      <w:ind w:firstLine="0"/>
    </w:pPr>
  </w:style>
  <w:style w:type="paragraph" w:styleId="ListContinue5">
    <w:name w:val="List Continue 5"/>
    <w:basedOn w:val="List5"/>
    <w:rsid w:val="0079187C"/>
    <w:pPr>
      <w:ind w:firstLine="0"/>
    </w:pPr>
  </w:style>
  <w:style w:type="paragraph" w:styleId="ListNumber3">
    <w:name w:val="List Number 3"/>
    <w:basedOn w:val="List3"/>
    <w:rsid w:val="0079187C"/>
    <w:pPr>
      <w:numPr>
        <w:numId w:val="3"/>
      </w:numPr>
    </w:pPr>
  </w:style>
  <w:style w:type="paragraph" w:styleId="ListNumber4">
    <w:name w:val="List Number 4"/>
    <w:basedOn w:val="List4"/>
    <w:rsid w:val="0079187C"/>
    <w:pPr>
      <w:numPr>
        <w:numId w:val="4"/>
      </w:numPr>
    </w:pPr>
  </w:style>
  <w:style w:type="paragraph" w:styleId="ListNumber5">
    <w:name w:val="List Number 5"/>
    <w:basedOn w:val="List5"/>
    <w:rsid w:val="0079187C"/>
    <w:pPr>
      <w:numPr>
        <w:numId w:val="5"/>
      </w:numPr>
    </w:pPr>
  </w:style>
  <w:style w:type="paragraph" w:styleId="BlockText">
    <w:name w:val="Block Text"/>
    <w:basedOn w:val="Normal"/>
    <w:rsid w:val="0079187C"/>
    <w:pPr>
      <w:spacing w:after="120"/>
      <w:ind w:left="1440" w:right="1440"/>
    </w:pPr>
  </w:style>
  <w:style w:type="character" w:customStyle="1" w:styleId="Subscript">
    <w:name w:val="Subscript"/>
    <w:basedOn w:val="DefaultParagraphFont"/>
    <w:rsid w:val="0079187C"/>
    <w:rPr>
      <w:sz w:val="16"/>
      <w:vertAlign w:val="subscript"/>
    </w:rPr>
  </w:style>
  <w:style w:type="character" w:customStyle="1" w:styleId="Superscript">
    <w:name w:val="Superscript"/>
    <w:basedOn w:val="DefaultParagraphFont"/>
    <w:rsid w:val="0079187C"/>
    <w:rPr>
      <w:sz w:val="16"/>
      <w:vertAlign w:val="superscript"/>
    </w:rPr>
  </w:style>
  <w:style w:type="character" w:customStyle="1" w:styleId="Symbols">
    <w:name w:val="Symbols"/>
    <w:basedOn w:val="DefaultParagraphFont"/>
    <w:rsid w:val="0079187C"/>
    <w:rPr>
      <w:rFonts w:ascii="Symbol" w:hAnsi="Symbol"/>
    </w:rPr>
  </w:style>
  <w:style w:type="character" w:customStyle="1" w:styleId="MenuOptions">
    <w:name w:val="Menu Options"/>
    <w:basedOn w:val="DefaultParagraphFont"/>
    <w:rsid w:val="0079187C"/>
    <w:rPr>
      <w:rFonts w:ascii="Arial Narrow" w:hAnsi="Arial Narrow"/>
      <w:smallCaps/>
    </w:rPr>
  </w:style>
  <w:style w:type="character" w:customStyle="1" w:styleId="Buttons">
    <w:name w:val="Buttons"/>
    <w:basedOn w:val="DefaultParagraphFont"/>
    <w:rsid w:val="0079187C"/>
    <w:rPr>
      <w:b/>
    </w:rPr>
  </w:style>
  <w:style w:type="character" w:customStyle="1" w:styleId="Underlined">
    <w:name w:val="Underlined"/>
    <w:basedOn w:val="DefaultParagraphFont"/>
    <w:rsid w:val="0079187C"/>
    <w:rPr>
      <w:u w:val="single"/>
    </w:rPr>
  </w:style>
  <w:style w:type="paragraph" w:customStyle="1" w:styleId="TableBodyTextRight">
    <w:name w:val="Table Body Text Right"/>
    <w:basedOn w:val="TableBodyText"/>
    <w:rsid w:val="0079187C"/>
    <w:pPr>
      <w:widowControl w:val="0"/>
      <w:autoSpaceDE w:val="0"/>
      <w:autoSpaceDN w:val="0"/>
      <w:adjustRightInd w:val="0"/>
      <w:jc w:val="right"/>
    </w:pPr>
    <w:rPr>
      <w:rFonts w:cs="Arial"/>
      <w:szCs w:val="18"/>
    </w:rPr>
  </w:style>
  <w:style w:type="paragraph" w:customStyle="1" w:styleId="CopyrightText">
    <w:name w:val="Copyright Text"/>
    <w:basedOn w:val="BodyText"/>
    <w:rsid w:val="0079187C"/>
    <w:rPr>
      <w:sz w:val="18"/>
    </w:rPr>
  </w:style>
  <w:style w:type="paragraph" w:customStyle="1" w:styleId="BodySmallRight">
    <w:name w:val="Body Small Right"/>
    <w:basedOn w:val="BodyTextRight"/>
    <w:rsid w:val="0079187C"/>
    <w:rPr>
      <w:sz w:val="18"/>
      <w:szCs w:val="18"/>
    </w:rPr>
  </w:style>
  <w:style w:type="paragraph" w:customStyle="1" w:styleId="MarginEdition">
    <w:name w:val="Margin Edition"/>
    <w:basedOn w:val="MarginNote"/>
    <w:rsid w:val="0079187C"/>
    <w:pPr>
      <w:spacing w:before="0" w:after="0"/>
    </w:pPr>
    <w:rPr>
      <w:rFonts w:ascii="Times New Roman" w:hAnsi="Times New Roman"/>
      <w:color w:val="999999"/>
    </w:rPr>
  </w:style>
  <w:style w:type="paragraph" w:customStyle="1" w:styleId="Spacer">
    <w:name w:val="Spacer"/>
    <w:basedOn w:val="Normal"/>
    <w:rsid w:val="0079187C"/>
    <w:rPr>
      <w:sz w:val="2"/>
      <w:szCs w:val="2"/>
    </w:rPr>
  </w:style>
  <w:style w:type="character" w:customStyle="1" w:styleId="Small">
    <w:name w:val="Small"/>
    <w:basedOn w:val="DefaultParagraphFont"/>
    <w:rsid w:val="0079187C"/>
    <w:rPr>
      <w:sz w:val="16"/>
    </w:rPr>
  </w:style>
  <w:style w:type="paragraph" w:customStyle="1" w:styleId="WideTable">
    <w:name w:val="Wide Table"/>
    <w:basedOn w:val="Normal"/>
    <w:rsid w:val="0079187C"/>
    <w:pPr>
      <w:ind w:left="-1418"/>
    </w:pPr>
    <w:rPr>
      <w:sz w:val="2"/>
      <w:szCs w:val="2"/>
    </w:rPr>
  </w:style>
  <w:style w:type="character" w:styleId="PageNumber">
    <w:name w:val="page number"/>
    <w:basedOn w:val="DefaultParagraphFont"/>
    <w:rsid w:val="0079187C"/>
  </w:style>
  <w:style w:type="paragraph" w:styleId="Quote">
    <w:name w:val="Quote"/>
    <w:basedOn w:val="Heading1"/>
    <w:link w:val="QuoteChar"/>
    <w:qFormat/>
    <w:rsid w:val="0079187C"/>
    <w:rPr>
      <w:b w:val="0"/>
      <w:sz w:val="72"/>
      <w:szCs w:val="72"/>
      <w:lang w:val="en-NZ"/>
    </w:rPr>
  </w:style>
  <w:style w:type="character" w:customStyle="1" w:styleId="QuoteChar">
    <w:name w:val="Quote Char"/>
    <w:basedOn w:val="DefaultParagraphFont"/>
    <w:link w:val="Quote"/>
    <w:rsid w:val="007918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187C"/>
    <w:pPr>
      <w:pageBreakBefore/>
    </w:pPr>
  </w:style>
  <w:style w:type="paragraph" w:customStyle="1" w:styleId="Border">
    <w:name w:val="Border"/>
    <w:basedOn w:val="Normal"/>
    <w:qFormat/>
    <w:rsid w:val="007918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187C"/>
    <w:rPr>
      <w:b/>
      <w:bCs/>
      <w:i/>
      <w:iCs/>
      <w:color w:val="auto"/>
    </w:rPr>
  </w:style>
  <w:style w:type="paragraph" w:styleId="IntenseQuote">
    <w:name w:val="Intense Quote"/>
    <w:basedOn w:val="Normal"/>
    <w:next w:val="Normal"/>
    <w:link w:val="IntenseQuoteChar"/>
    <w:uiPriority w:val="30"/>
    <w:qFormat/>
    <w:rsid w:val="007918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18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187C"/>
    <w:rPr>
      <w:smallCaps/>
      <w:color w:val="auto"/>
      <w:u w:val="single"/>
    </w:rPr>
  </w:style>
  <w:style w:type="character" w:styleId="IntenseReference">
    <w:name w:val="Intense Reference"/>
    <w:basedOn w:val="DefaultParagraphFont"/>
    <w:uiPriority w:val="32"/>
    <w:qFormat/>
    <w:rsid w:val="0079187C"/>
    <w:rPr>
      <w:b/>
      <w:bCs/>
      <w:smallCaps/>
      <w:color w:val="auto"/>
      <w:spacing w:val="5"/>
      <w:u w:val="single"/>
    </w:rPr>
  </w:style>
  <w:style w:type="paragraph" w:customStyle="1" w:styleId="2ColumnHeading">
    <w:name w:val="2Column Heading"/>
    <w:basedOn w:val="BodyText"/>
    <w:qFormat/>
    <w:rsid w:val="0079187C"/>
    <w:pPr>
      <w:spacing w:after="60"/>
      <w:ind w:left="-2268"/>
    </w:pPr>
    <w:rPr>
      <w:b/>
    </w:rPr>
  </w:style>
  <w:style w:type="paragraph" w:customStyle="1" w:styleId="Heading1TOC">
    <w:name w:val="Heading1 TOC"/>
    <w:basedOn w:val="Normal"/>
    <w:qFormat/>
    <w:rsid w:val="0079187C"/>
    <w:pPr>
      <w:spacing w:before="240" w:after="120"/>
    </w:pPr>
    <w:rPr>
      <w:rFonts w:ascii="Times New Roman" w:hAnsi="Times New Roman"/>
      <w:b/>
      <w:sz w:val="32"/>
    </w:rPr>
  </w:style>
  <w:style w:type="paragraph" w:customStyle="1" w:styleId="Heading2TOC">
    <w:name w:val="Heading2 TOC"/>
    <w:basedOn w:val="Normal"/>
    <w:qFormat/>
    <w:rsid w:val="0079187C"/>
    <w:pPr>
      <w:spacing w:before="240" w:after="60"/>
    </w:pPr>
    <w:rPr>
      <w:rFonts w:ascii="Times New Roman" w:hAnsi="Times New Roman"/>
      <w:b/>
      <w:sz w:val="28"/>
    </w:rPr>
  </w:style>
  <w:style w:type="character" w:customStyle="1" w:styleId="Underline">
    <w:name w:val="Underline"/>
    <w:basedOn w:val="DefaultParagraphFont"/>
    <w:qFormat/>
    <w:rsid w:val="0079187C"/>
    <w:rPr>
      <w:u w:val="single"/>
    </w:rPr>
  </w:style>
  <w:style w:type="character" w:customStyle="1" w:styleId="BoldandItalics">
    <w:name w:val="Bold and Italics"/>
    <w:qFormat/>
    <w:rsid w:val="0079187C"/>
    <w:rPr>
      <w:b/>
      <w:i/>
      <w:u w:val="none"/>
    </w:rPr>
  </w:style>
  <w:style w:type="paragraph" w:styleId="BalloonText">
    <w:name w:val="Balloon Text"/>
    <w:basedOn w:val="Normal"/>
    <w:link w:val="BalloonTextChar"/>
    <w:rsid w:val="0079187C"/>
    <w:rPr>
      <w:rFonts w:ascii="Tahoma" w:hAnsi="Tahoma" w:cs="Tahoma"/>
      <w:sz w:val="16"/>
      <w:szCs w:val="16"/>
    </w:rPr>
  </w:style>
  <w:style w:type="character" w:customStyle="1" w:styleId="BalloonTextChar">
    <w:name w:val="Balloon Text Char"/>
    <w:basedOn w:val="DefaultParagraphFont"/>
    <w:link w:val="BalloonText"/>
    <w:rsid w:val="007918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18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18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187C"/>
    <w:rPr>
      <w:b/>
      <w:color w:val="660033"/>
      <w:spacing w:val="0"/>
    </w:rPr>
  </w:style>
  <w:style w:type="paragraph" w:customStyle="1" w:styleId="Nameditemlist">
    <w:name w:val="Named item list"/>
    <w:basedOn w:val="BodyText"/>
    <w:qFormat/>
    <w:rsid w:val="0079187C"/>
    <w:pPr>
      <w:tabs>
        <w:tab w:val="left" w:pos="2835"/>
      </w:tabs>
      <w:ind w:left="2835" w:hanging="2835"/>
    </w:pPr>
  </w:style>
  <w:style w:type="paragraph" w:customStyle="1" w:styleId="BodyTextnopadding">
    <w:name w:val="Body Text no padding"/>
    <w:basedOn w:val="BodyText"/>
    <w:qFormat/>
    <w:rsid w:val="0079187C"/>
    <w:pPr>
      <w:spacing w:before="0" w:after="0"/>
    </w:pPr>
  </w:style>
  <w:style w:type="paragraph" w:customStyle="1" w:styleId="BodyTextBold">
    <w:name w:val="Body Text Bold"/>
    <w:basedOn w:val="BodyText"/>
    <w:qFormat/>
    <w:rsid w:val="0079187C"/>
    <w:rPr>
      <w:b/>
    </w:rPr>
  </w:style>
  <w:style w:type="character" w:styleId="Hyperlink">
    <w:name w:val="Hyperlink"/>
    <w:basedOn w:val="DefaultParagraphFont"/>
    <w:uiPriority w:val="99"/>
    <w:unhideWhenUsed/>
    <w:rsid w:val="008124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1181</Words>
  <Characters>7977</Characters>
  <Application>Microsoft Office Word</Application>
  <DocSecurity>0</DocSecurity>
  <Lines>295</Lines>
  <Paragraphs>152</Paragraphs>
  <ScaleCrop>false</ScaleCrop>
  <Company>Author-it Software Corporation Ltd.</Company>
  <LinksUpToDate>false</LinksUpToDate>
  <CharactersWithSpaces>9006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UETTDRSO33 Manage power systems critical events</dc:title>
  <dc:subject>Approved</dc:subject>
  <dc:creator>Australian Industry Standards</dc:creator>
  <cp:keywords>Release: 1</cp:keywords>
  <dc:description>Review Date: 12 April 2008</dc:description>
  <cp:lastModifiedBy>HSD_TPCMSd.prod</cp:lastModifiedBy>
  <cp:revision>3</cp:revision>
  <dcterms:created xsi:type="dcterms:W3CDTF">2021-03-24T00:22:00Z</dcterms:created>
  <dcterms:modified xsi:type="dcterms:W3CDTF">2021-03-24T00:22:00Z</dcterms:modified>
</cp:coreProperties>
</file>