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50E" w:rsidP="001455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UETTDRSO32 Manage power systems network faults</w:t>
      </w:r>
      <w:r>
        <w:fldChar w:fldCharType="end"/>
      </w:r>
    </w:p>
    <w:p w:rsidR="0014550E" w:rsidP="0014550E">
      <w:pPr>
        <w:pStyle w:val="Version"/>
        <w:sectPr w:rsidSect="00166A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6A38" w:rsidP="00166A38">
      <w:pPr>
        <w:pStyle w:val="SuperHeading"/>
      </w:pPr>
      <w:r w:rsidRPr="00166A38">
        <w:t>Assessment Requirements for UETTDRSO32 Manage power systems network faults</w:t>
      </w:r>
    </w:p>
    <w:p w:rsidR="00000000" w:rsidRPr="00166A38" w:rsidP="00166A38">
      <w:pPr>
        <w:pStyle w:val="Heading1"/>
      </w:pPr>
      <w:bookmarkStart w:id="1" w:name="O_1180860"/>
      <w:bookmarkEnd w:id="1"/>
      <w:r w:rsidRPr="00166A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38" w:rsidP="00166A38">
            <w:pPr>
              <w:pStyle w:val="BodyText"/>
            </w:pPr>
            <w:r w:rsidRPr="00166A38">
              <w:t>Release 2. Removed deleted units UETTDRSO34 and UETTDRSO42 from Pre-requisite Unit pathways due to zero enrolments.</w:t>
            </w:r>
          </w:p>
          <w:p w:rsidR="00000000" w:rsidRPr="00166A38" w:rsidP="00166A38">
            <w:pPr>
              <w:pStyle w:val="BodyText"/>
            </w:pPr>
            <w:r w:rsidRPr="00166A3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66A38" w:rsidP="00166A38">
      <w:pPr>
        <w:pStyle w:val="NoPaddingFontSize1"/>
      </w:pPr>
    </w:p>
    <w:p w:rsidR="00000000" w:rsidRPr="00166A38" w:rsidP="00166A38">
      <w:pPr>
        <w:pStyle w:val="AllowPageBreak"/>
      </w:pPr>
    </w:p>
    <w:p w:rsidR="00000000" w:rsidRPr="00166A38" w:rsidP="00166A38">
      <w:pPr>
        <w:pStyle w:val="Heading1"/>
      </w:pPr>
      <w:bookmarkStart w:id="2" w:name="O_1180859"/>
      <w:bookmarkEnd w:id="2"/>
      <w:r w:rsidRPr="00166A3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38">
            <w:pPr>
              <w:pStyle w:val="BodyText"/>
              <w:rPr>
                <w:lang w:val="en-NZ"/>
              </w:rPr>
            </w:pPr>
            <w:r w:rsidRPr="00166A38">
              <w:t>Evidence required to demonstrate competence in this unit must be relevant to a</w:t>
            </w:r>
            <w:r w:rsidRPr="00166A38">
              <w:t xml:space="preserve">nd satisfy all of the requirements of the elements and performance criteria on at least two separate occasions and include:   </w:t>
            </w:r>
          </w:p>
        </w:tc>
      </w:tr>
      <w:tr w:rsidTr="00166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38" w:rsidP="00166A38">
            <w:pPr>
              <w:pStyle w:val="ListBullet"/>
            </w:pPr>
            <w:r w:rsidRPr="00166A38">
              <w:t>applying relevant work health and safety (WHS)/occupational health and safety (OHS) requirements, including the use of risk con</w:t>
            </w:r>
            <w:r w:rsidRPr="00166A38">
              <w:t xml:space="preserve">trol measures </w:t>
            </w:r>
          </w:p>
          <w:p w:rsidR="00000000" w:rsidRPr="00166A38" w:rsidP="00166A38">
            <w:pPr>
              <w:pStyle w:val="ListBullet"/>
            </w:pPr>
            <w:r w:rsidRPr="00166A38">
              <w:t>applying sustainable energy principles and practices</w:t>
            </w:r>
          </w:p>
          <w:p w:rsidR="00000000" w:rsidRPr="00166A38" w:rsidP="00166A38">
            <w:pPr>
              <w:pStyle w:val="ListBullet"/>
            </w:pPr>
            <w:r w:rsidRPr="00166A38">
              <w:t>managing a network fault, including all of the following:</w:t>
            </w:r>
          </w:p>
          <w:p w:rsidR="00000000" w:rsidRPr="00166A38" w:rsidP="00166A38">
            <w:pPr>
              <w:pStyle w:val="ListBullet2"/>
            </w:pPr>
            <w:r w:rsidRPr="00166A38">
              <w:t>identifying a network fault by interpreting available alarms and event data</w:t>
            </w:r>
          </w:p>
          <w:p w:rsidR="00000000" w:rsidRPr="00166A38" w:rsidP="00166A38">
            <w:pPr>
              <w:pStyle w:val="ListBullet2"/>
            </w:pPr>
            <w:r w:rsidRPr="00166A38">
              <w:t>developing a plan to enable management of a network fault</w:t>
            </w:r>
          </w:p>
          <w:p w:rsidR="00000000" w:rsidRPr="00166A38" w:rsidP="00166A38">
            <w:pPr>
              <w:pStyle w:val="ListBullet2"/>
            </w:pPr>
            <w:r w:rsidRPr="00166A38">
              <w:t>implementing plans in order that the network be restored after a fault has occurred</w:t>
            </w:r>
          </w:p>
          <w:p w:rsidR="00000000" w:rsidRPr="00166A38" w:rsidP="00166A38">
            <w:pPr>
              <w:pStyle w:val="ListBullet2"/>
            </w:pPr>
            <w:r w:rsidRPr="00166A38">
              <w:t>effectively liaising with operating authorities and field crews to restore the network after a fault has occurred</w:t>
            </w:r>
          </w:p>
          <w:p w:rsidR="00000000" w:rsidRPr="00166A38" w:rsidP="00166A38">
            <w:pPr>
              <w:pStyle w:val="ListBullet2"/>
            </w:pPr>
            <w:r w:rsidRPr="00166A38">
              <w:t>documenting/debriefing actions upon restoration of the network</w:t>
            </w:r>
          </w:p>
          <w:p w:rsidR="00000000" w:rsidRPr="00166A38" w:rsidP="00166A38">
            <w:pPr>
              <w:pStyle w:val="ListBullet"/>
            </w:pPr>
            <w:r w:rsidRPr="00166A38">
              <w:t xml:space="preserve">dealing with unplanned events on at least one (1) occasion. </w:t>
            </w:r>
          </w:p>
        </w:tc>
      </w:tr>
    </w:tbl>
    <w:p w:rsidR="00000000" w:rsidRPr="00166A38" w:rsidP="00166A38">
      <w:pPr>
        <w:pStyle w:val="NoPaddingFontSize1"/>
      </w:pPr>
    </w:p>
    <w:p w:rsidR="00000000" w:rsidRPr="00166A38" w:rsidP="00166A38">
      <w:pPr>
        <w:pStyle w:val="AllowPageBreak"/>
      </w:pPr>
    </w:p>
    <w:p w:rsidR="00000000" w:rsidRPr="00166A38" w:rsidP="00166A38">
      <w:pPr>
        <w:pStyle w:val="Heading1"/>
      </w:pPr>
      <w:bookmarkStart w:id="3" w:name="O_1180858"/>
      <w:bookmarkEnd w:id="3"/>
      <w:r w:rsidRPr="00166A3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38">
            <w:pPr>
              <w:pStyle w:val="BodyText"/>
              <w:rPr>
                <w:lang w:val="en-NZ"/>
              </w:rPr>
            </w:pPr>
            <w:r w:rsidRPr="00166A3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66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38" w:rsidP="00166A38">
            <w:pPr>
              <w:pStyle w:val="ListBullet"/>
            </w:pPr>
            <w:r w:rsidRPr="00166A38">
              <w:t>enterprise-specific procedures and work practices relating to fault restor</w:t>
            </w:r>
            <w:r w:rsidRPr="00166A38">
              <w:t>ations encompassing:</w:t>
            </w:r>
          </w:p>
          <w:p w:rsidR="00000000" w:rsidRPr="00166A38" w:rsidP="00166A38">
            <w:pPr>
              <w:pStyle w:val="ListBullet2"/>
            </w:pPr>
            <w:r w:rsidRPr="00166A38">
              <w:t>Commonwealth/state/territory and local government legislation, supply authority regulations, standards, codes and/or enterprise requirements applicable to the procedures and work practices relating to fault restorations</w:t>
            </w:r>
          </w:p>
          <w:p w:rsidR="00000000" w:rsidRPr="00166A38" w:rsidP="00166A38">
            <w:pPr>
              <w:pStyle w:val="ListBullet2"/>
            </w:pPr>
            <w:r w:rsidRPr="00166A38">
              <w:t>requirements f</w:t>
            </w:r>
            <w:r w:rsidRPr="00166A38">
              <w:t>or the use of operational manuals, system diagrams/plans and drawings</w:t>
            </w:r>
          </w:p>
          <w:p w:rsidR="00000000" w:rsidRPr="00166A38" w:rsidP="00166A38">
            <w:pPr>
              <w:pStyle w:val="ListBullet2"/>
            </w:pPr>
            <w:r w:rsidRPr="00166A38">
              <w:t>identifying and interpreting enterprise operating procedures</w:t>
            </w:r>
          </w:p>
          <w:p w:rsidR="00000000" w:rsidRPr="00166A38" w:rsidP="00166A38">
            <w:pPr>
              <w:pStyle w:val="ListBullet2"/>
            </w:pPr>
            <w:r w:rsidRPr="00166A38">
              <w:t>techniques in the applying enterprise operating procedures</w:t>
            </w:r>
          </w:p>
          <w:p w:rsidR="00000000" w:rsidRPr="00166A38" w:rsidP="00166A38">
            <w:pPr>
              <w:pStyle w:val="ListBullet"/>
            </w:pPr>
            <w:r w:rsidRPr="00166A38">
              <w:t>use of fault information to analyse and develop optimal network restoration strategies encompassing:</w:t>
            </w:r>
          </w:p>
          <w:p w:rsidR="00000000" w:rsidRPr="00166A38" w:rsidP="00166A38">
            <w:pPr>
              <w:pStyle w:val="ListBullet2"/>
            </w:pPr>
            <w:r w:rsidRPr="00166A38">
              <w:t xml:space="preserve">Commonwealth/state/territory and local government legislation, supply authority regulations standards, codes and/or enterprise requirements applicable to </w:t>
            </w:r>
            <w:r w:rsidRPr="00166A38">
              <w:t>the analysis of protection targeting</w:t>
            </w:r>
          </w:p>
          <w:p w:rsidR="00000000" w:rsidRPr="00166A38" w:rsidP="00166A38">
            <w:pPr>
              <w:pStyle w:val="ListBullet2"/>
            </w:pPr>
            <w:r w:rsidRPr="00166A38">
              <w:t>requirements for the use of operational manuals, system diagrams/plans and drawings</w:t>
            </w:r>
          </w:p>
          <w:p w:rsidR="00000000" w:rsidRPr="00166A38" w:rsidP="00166A38">
            <w:pPr>
              <w:pStyle w:val="ListBullet2"/>
            </w:pPr>
            <w:r w:rsidRPr="00166A38">
              <w:t>techniques in the collation of protection data</w:t>
            </w:r>
          </w:p>
          <w:p w:rsidR="00000000" w:rsidRPr="00166A38" w:rsidP="00166A38">
            <w:pPr>
              <w:pStyle w:val="ListBullet2"/>
            </w:pPr>
            <w:r w:rsidRPr="00166A38">
              <w:t>techniques in the analysis and assessment of fault information – public, employee and pr</w:t>
            </w:r>
            <w:r w:rsidRPr="00166A38">
              <w:t>otection equipment</w:t>
            </w:r>
          </w:p>
          <w:p w:rsidR="00000000" w:rsidRPr="00166A38" w:rsidP="00166A38">
            <w:pPr>
              <w:pStyle w:val="ListBullet2"/>
            </w:pPr>
            <w:r w:rsidRPr="00166A38">
              <w:t>application methods of fault information to analyse and develop optimal network restoration strategies - public and employee safety, and enterprise reliability guidelines</w:t>
            </w:r>
          </w:p>
          <w:p w:rsidR="00000000" w:rsidRPr="00166A38" w:rsidP="00166A38">
            <w:pPr>
              <w:pStyle w:val="ListBullet2"/>
            </w:pPr>
            <w:r w:rsidRPr="00166A38">
              <w:t>resource availability.</w:t>
            </w:r>
          </w:p>
        </w:tc>
      </w:tr>
    </w:tbl>
    <w:p w:rsidR="00000000" w:rsidRPr="00166A38" w:rsidP="00166A38">
      <w:pPr>
        <w:pStyle w:val="NoPaddingFontSize1"/>
      </w:pPr>
    </w:p>
    <w:p w:rsidR="00000000" w:rsidRPr="00166A38" w:rsidP="00166A38">
      <w:pPr>
        <w:pStyle w:val="AllowPageBreak"/>
      </w:pPr>
    </w:p>
    <w:p w:rsidR="00000000" w:rsidRPr="00166A38" w:rsidP="00166A38">
      <w:pPr>
        <w:pStyle w:val="Heading1"/>
      </w:pPr>
      <w:bookmarkStart w:id="4" w:name="O_1180857"/>
      <w:bookmarkEnd w:id="4"/>
      <w:r w:rsidRPr="00166A3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38" w:rsidP="00166A38">
            <w:pPr>
              <w:pStyle w:val="BodyText"/>
            </w:pPr>
            <w:r w:rsidRPr="00166A38">
              <w:t>Assessors must hold credentials specified within the Standards for Registered Training Organisations current at the time of assessment.</w:t>
            </w:r>
          </w:p>
          <w:p w:rsidR="00000000" w:rsidRPr="00166A38" w:rsidP="00166A38">
            <w:pPr>
              <w:pStyle w:val="BodyText"/>
            </w:pPr>
            <w:r w:rsidRPr="00166A38">
              <w:t>Assessment must satisfy the Principles of Assessment and Rules of Evidence and all regulatory requirements included with</w:t>
            </w:r>
            <w:r w:rsidRPr="00166A38">
              <w:t>in the Standards for Registered Training Organisations current at the time of assessment.</w:t>
            </w:r>
          </w:p>
          <w:p w:rsidR="00000000" w:rsidRPr="00166A38" w:rsidP="00166A38">
            <w:pPr>
              <w:pStyle w:val="BodyText"/>
            </w:pPr>
            <w:r w:rsidRPr="00166A38">
              <w:t>Assessment must occur in workplace operational situations where it is appropriate to do so; where this is not appropriate, assessment must occur in simulated conditio</w:t>
            </w:r>
            <w:r w:rsidRPr="00166A38">
              <w:t>ns involving realistic and authentic activities that replicate operational workplace conditions.</w:t>
            </w:r>
          </w:p>
          <w:p w:rsidR="00000000" w:rsidRPr="00166A38" w:rsidP="00166A38">
            <w:pPr>
              <w:pStyle w:val="BodyText"/>
            </w:pPr>
            <w:r w:rsidRPr="00166A38">
              <w:t>Assessment processes and techniques must be appropriate to the language, literacy and numeracy requirements of the work being performed and the needs of the ca</w:t>
            </w:r>
            <w:r w:rsidRPr="00166A38">
              <w:t>ndidate.</w:t>
            </w:r>
          </w:p>
          <w:p w:rsidR="00000000" w:rsidRPr="00166A38" w:rsidP="00166A38">
            <w:pPr>
              <w:pStyle w:val="BodyText"/>
            </w:pPr>
            <w:r w:rsidRPr="00166A38">
              <w:t>Resources for assessment must include access to:</w:t>
            </w:r>
          </w:p>
          <w:p w:rsidR="00000000" w:rsidRPr="00166A38" w:rsidP="00166A38">
            <w:pPr>
              <w:pStyle w:val="ListBullet"/>
            </w:pPr>
            <w:r w:rsidRPr="00166A38">
              <w:t>a range of relevant exercises, case studies and/or other simulations</w:t>
            </w:r>
          </w:p>
          <w:p w:rsidR="00000000" w:rsidRPr="00166A38" w:rsidP="00166A38">
            <w:pPr>
              <w:pStyle w:val="ListBullet"/>
            </w:pPr>
            <w:r w:rsidRPr="00166A38">
              <w:t>relevant and appropriate materials, tools, facilities, equipment and personal protective equipment (PPE) currently used in indus</w:t>
            </w:r>
            <w:r w:rsidRPr="00166A38">
              <w:t>try</w:t>
            </w:r>
          </w:p>
          <w:p w:rsidR="00000000" w:rsidRPr="00166A38" w:rsidP="00166A38">
            <w:pPr>
              <w:pStyle w:val="ListBullet"/>
            </w:pPr>
            <w:r w:rsidRPr="00166A38">
              <w:t>applicable documentation, including workplace procedures, relevant industry standards, equipment specifications, regulations, codes of practice and operation manuals.</w:t>
            </w:r>
          </w:p>
          <w:p w:rsidR="00000000" w:rsidRPr="00166A38" w:rsidP="00166A38">
            <w:pPr>
              <w:pStyle w:val="ListBullet"/>
            </w:pPr>
            <w:r w:rsidRPr="00166A38">
              <w:t>relevant modelling tools, drawings, computerised electrical plant control and monitor</w:t>
            </w:r>
            <w:r w:rsidRPr="00166A38">
              <w:t>ing facilities</w:t>
            </w:r>
          </w:p>
        </w:tc>
      </w:tr>
    </w:tbl>
    <w:p w:rsidR="00000000" w:rsidRPr="00166A38" w:rsidP="00166A38">
      <w:pPr>
        <w:pStyle w:val="NoPaddingFontSize1"/>
      </w:pPr>
    </w:p>
    <w:p w:rsidR="00000000" w:rsidRPr="00166A38" w:rsidP="00166A38">
      <w:pPr>
        <w:pStyle w:val="AllowPageBreak"/>
      </w:pPr>
    </w:p>
    <w:p w:rsidR="00000000" w:rsidRPr="00166A38" w:rsidP="00166A38">
      <w:pPr>
        <w:pStyle w:val="Heading1"/>
      </w:pPr>
      <w:bookmarkStart w:id="5" w:name="O_1180872"/>
      <w:bookmarkEnd w:id="5"/>
      <w:r w:rsidRPr="00166A38">
        <w:t>Links</w:t>
      </w:r>
    </w:p>
    <w:p w:rsidR="00000000" w:rsidRPr="00166A38" w:rsidP="0014550E">
      <w:pPr>
        <w:pStyle w:val="BodyText"/>
      </w:pPr>
      <w:r w:rsidRPr="00166A3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06CB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66A38" w:rsidP="00166A38"/>
    <w:sectPr w:rsidSect="00166A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38" w:rsidRPr="0014550E" w:rsidP="001455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50E" w:rsidP="00166A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550E" w:rsidP="00166A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4550E" w:rsidP="00166A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5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A38" w:rsidRPr="0014550E" w:rsidP="001455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50E" w:rsidRPr="002D2AF8" w:rsidP="00166A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UETTDRSO32 Manage power systems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14550E" w:rsidP="00166A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2CDE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0E6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64E4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A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A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A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A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A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A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A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A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A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A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A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A38"/>
  </w:style>
  <w:style w:type="character" w:customStyle="1" w:styleId="Heading1Char">
    <w:name w:val="Heading 1 Char"/>
    <w:basedOn w:val="DefaultParagraphFont"/>
    <w:link w:val="Heading1"/>
    <w:rsid w:val="00166A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A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A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A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6A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6A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A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6A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A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A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A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A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A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A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A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A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A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A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A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A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A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A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A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6A38"/>
    <w:rPr>
      <w:b/>
      <w:spacing w:val="0"/>
    </w:rPr>
  </w:style>
  <w:style w:type="paragraph" w:customStyle="1" w:styleId="SuperTitle">
    <w:name w:val="SuperTitle"/>
    <w:basedOn w:val="Title"/>
    <w:rsid w:val="00166A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A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A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A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A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A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A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A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A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A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A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A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A38"/>
    <w:rPr>
      <w:i/>
    </w:rPr>
  </w:style>
  <w:style w:type="paragraph" w:styleId="Caption">
    <w:name w:val="caption"/>
    <w:basedOn w:val="BodyText"/>
    <w:next w:val="Normal"/>
    <w:qFormat/>
    <w:rsid w:val="00166A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A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A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A38"/>
  </w:style>
  <w:style w:type="paragraph" w:styleId="TableofFigures">
    <w:name w:val="table of figures"/>
    <w:basedOn w:val="Normal"/>
    <w:next w:val="Normal"/>
    <w:semiHidden/>
    <w:rsid w:val="00166A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A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6A38"/>
    <w:rPr>
      <w:rFonts w:ascii="Wingdings" w:hAnsi="Wingdings"/>
    </w:rPr>
  </w:style>
  <w:style w:type="paragraph" w:customStyle="1" w:styleId="TableHeading">
    <w:name w:val="Table Heading"/>
    <w:basedOn w:val="HeadingBase"/>
    <w:rsid w:val="00166A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A38"/>
    <w:rPr>
      <w:color w:val="0033CC"/>
      <w:u w:val="none"/>
    </w:rPr>
  </w:style>
  <w:style w:type="paragraph" w:customStyle="1" w:styleId="BodyTextRight">
    <w:name w:val="Body Text Right"/>
    <w:basedOn w:val="BodyText"/>
    <w:rsid w:val="00166A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A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A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A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A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A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A38"/>
    <w:rPr>
      <w:sz w:val="32"/>
    </w:rPr>
  </w:style>
  <w:style w:type="paragraph" w:customStyle="1" w:styleId="HeadingProcedure">
    <w:name w:val="Heading Procedure"/>
    <w:basedOn w:val="HeadingBase"/>
    <w:next w:val="Normal"/>
    <w:rsid w:val="00166A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A38"/>
    <w:pPr>
      <w:spacing w:before="60" w:after="60"/>
    </w:pPr>
  </w:style>
  <w:style w:type="paragraph" w:styleId="ListContinue">
    <w:name w:val="List Continue"/>
    <w:basedOn w:val="List"/>
    <w:rsid w:val="00166A38"/>
    <w:pPr>
      <w:ind w:firstLine="0"/>
    </w:pPr>
  </w:style>
  <w:style w:type="paragraph" w:customStyle="1" w:styleId="ListNote">
    <w:name w:val="List Note"/>
    <w:basedOn w:val="List"/>
    <w:rsid w:val="00166A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A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A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A38"/>
    <w:rPr>
      <w:rFonts w:ascii="Courier New" w:hAnsi="Courier New"/>
    </w:rPr>
  </w:style>
  <w:style w:type="paragraph" w:customStyle="1" w:styleId="NoteBullet">
    <w:name w:val="Note Bullet"/>
    <w:basedOn w:val="Note"/>
    <w:rsid w:val="00166A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A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A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A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A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A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A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A38"/>
    <w:rPr>
      <w:b/>
      <w:smallCaps/>
    </w:rPr>
  </w:style>
  <w:style w:type="paragraph" w:customStyle="1" w:styleId="TableListNumber">
    <w:name w:val="Table List Number"/>
    <w:basedOn w:val="ListNumber"/>
    <w:rsid w:val="00166A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A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A38"/>
    <w:pPr>
      <w:numPr>
        <w:numId w:val="9"/>
      </w:numPr>
    </w:pPr>
  </w:style>
  <w:style w:type="paragraph" w:customStyle="1" w:styleId="ListAlpha2">
    <w:name w:val="List Alpha 2"/>
    <w:basedOn w:val="List2"/>
    <w:rsid w:val="00166A38"/>
    <w:pPr>
      <w:numPr>
        <w:numId w:val="8"/>
      </w:numPr>
    </w:pPr>
  </w:style>
  <w:style w:type="paragraph" w:styleId="List2">
    <w:name w:val="List 2"/>
    <w:basedOn w:val="BodyText"/>
    <w:rsid w:val="00166A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A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A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A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A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A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6A38"/>
    <w:pPr>
      <w:numPr>
        <w:numId w:val="4"/>
      </w:numPr>
    </w:pPr>
  </w:style>
  <w:style w:type="paragraph" w:styleId="ListContinue2">
    <w:name w:val="List Continue 2"/>
    <w:basedOn w:val="List2"/>
    <w:rsid w:val="00166A38"/>
    <w:pPr>
      <w:ind w:firstLine="0"/>
    </w:pPr>
  </w:style>
  <w:style w:type="paragraph" w:styleId="ListContinue3">
    <w:name w:val="List Continue 3"/>
    <w:basedOn w:val="List3"/>
    <w:rsid w:val="00166A38"/>
    <w:pPr>
      <w:ind w:left="1021" w:firstLine="0"/>
    </w:pPr>
  </w:style>
  <w:style w:type="paragraph" w:styleId="ListContinue4">
    <w:name w:val="List Continue 4"/>
    <w:basedOn w:val="List4"/>
    <w:rsid w:val="00166A38"/>
    <w:pPr>
      <w:ind w:firstLine="0"/>
    </w:pPr>
  </w:style>
  <w:style w:type="paragraph" w:styleId="ListContinue5">
    <w:name w:val="List Continue 5"/>
    <w:basedOn w:val="List5"/>
    <w:rsid w:val="00166A38"/>
    <w:pPr>
      <w:ind w:firstLine="0"/>
    </w:pPr>
  </w:style>
  <w:style w:type="paragraph" w:styleId="ListNumber3">
    <w:name w:val="List Number 3"/>
    <w:basedOn w:val="List3"/>
    <w:rsid w:val="00166A38"/>
    <w:pPr>
      <w:numPr>
        <w:numId w:val="5"/>
      </w:numPr>
    </w:pPr>
  </w:style>
  <w:style w:type="paragraph" w:styleId="ListNumber4">
    <w:name w:val="List Number 4"/>
    <w:basedOn w:val="List4"/>
    <w:rsid w:val="00166A38"/>
    <w:pPr>
      <w:numPr>
        <w:numId w:val="6"/>
      </w:numPr>
    </w:pPr>
  </w:style>
  <w:style w:type="paragraph" w:styleId="ListNumber5">
    <w:name w:val="List Number 5"/>
    <w:basedOn w:val="List5"/>
    <w:rsid w:val="00166A38"/>
    <w:pPr>
      <w:numPr>
        <w:numId w:val="7"/>
      </w:numPr>
    </w:pPr>
  </w:style>
  <w:style w:type="paragraph" w:styleId="BlockText">
    <w:name w:val="Block Text"/>
    <w:basedOn w:val="Normal"/>
    <w:rsid w:val="00166A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A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A38"/>
    <w:rPr>
      <w:sz w:val="16"/>
      <w:vertAlign w:val="superscript"/>
    </w:rPr>
  </w:style>
  <w:style w:type="character" w:customStyle="1" w:styleId="Symbols">
    <w:name w:val="Symbols"/>
    <w:basedOn w:val="DefaultParagraphFont"/>
    <w:rsid w:val="00166A38"/>
    <w:rPr>
      <w:rFonts w:ascii="Symbol" w:hAnsi="Symbol"/>
    </w:rPr>
  </w:style>
  <w:style w:type="character" w:customStyle="1" w:styleId="MenuOptions">
    <w:name w:val="Menu Options"/>
    <w:basedOn w:val="DefaultParagraphFont"/>
    <w:rsid w:val="00166A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A38"/>
    <w:rPr>
      <w:b/>
    </w:rPr>
  </w:style>
  <w:style w:type="character" w:customStyle="1" w:styleId="Underlined">
    <w:name w:val="Underlined"/>
    <w:basedOn w:val="DefaultParagraphFont"/>
    <w:rsid w:val="00166A38"/>
    <w:rPr>
      <w:u w:val="single"/>
    </w:rPr>
  </w:style>
  <w:style w:type="paragraph" w:customStyle="1" w:styleId="TableBodyTextRight">
    <w:name w:val="Table Body Text Right"/>
    <w:basedOn w:val="TableBodyText"/>
    <w:rsid w:val="00166A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A38"/>
    <w:rPr>
      <w:sz w:val="18"/>
    </w:rPr>
  </w:style>
  <w:style w:type="paragraph" w:customStyle="1" w:styleId="BodySmallRight">
    <w:name w:val="Body Small Right"/>
    <w:basedOn w:val="BodyTextRight"/>
    <w:rsid w:val="00166A38"/>
    <w:rPr>
      <w:sz w:val="18"/>
      <w:szCs w:val="18"/>
    </w:rPr>
  </w:style>
  <w:style w:type="paragraph" w:customStyle="1" w:styleId="MarginEdition">
    <w:name w:val="Margin Edition"/>
    <w:basedOn w:val="MarginNote"/>
    <w:rsid w:val="00166A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A38"/>
    <w:rPr>
      <w:sz w:val="2"/>
      <w:szCs w:val="2"/>
    </w:rPr>
  </w:style>
  <w:style w:type="character" w:customStyle="1" w:styleId="Small">
    <w:name w:val="Small"/>
    <w:basedOn w:val="DefaultParagraphFont"/>
    <w:rsid w:val="00166A38"/>
    <w:rPr>
      <w:sz w:val="16"/>
    </w:rPr>
  </w:style>
  <w:style w:type="paragraph" w:customStyle="1" w:styleId="WideTable">
    <w:name w:val="Wide Table"/>
    <w:basedOn w:val="Normal"/>
    <w:rsid w:val="00166A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A38"/>
  </w:style>
  <w:style w:type="paragraph" w:styleId="Quote">
    <w:name w:val="Quote"/>
    <w:basedOn w:val="Heading1"/>
    <w:link w:val="QuoteChar"/>
    <w:qFormat/>
    <w:rsid w:val="00166A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A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A38"/>
    <w:pPr>
      <w:pageBreakBefore/>
    </w:pPr>
  </w:style>
  <w:style w:type="paragraph" w:customStyle="1" w:styleId="Border">
    <w:name w:val="Border"/>
    <w:basedOn w:val="Normal"/>
    <w:qFormat/>
    <w:rsid w:val="00166A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A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A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A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A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A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A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A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A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A38"/>
    <w:rPr>
      <w:u w:val="single"/>
    </w:rPr>
  </w:style>
  <w:style w:type="character" w:customStyle="1" w:styleId="BoldandItalics">
    <w:name w:val="Bold and Italics"/>
    <w:qFormat/>
    <w:rsid w:val="00166A38"/>
    <w:rPr>
      <w:b/>
      <w:i/>
      <w:u w:val="none"/>
    </w:rPr>
  </w:style>
  <w:style w:type="paragraph" w:styleId="BalloonText">
    <w:name w:val="Balloon Text"/>
    <w:basedOn w:val="Normal"/>
    <w:link w:val="BalloonTextChar"/>
    <w:rsid w:val="00166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A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A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A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A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A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A38"/>
    <w:pPr>
      <w:spacing w:before="0" w:after="0"/>
    </w:pPr>
  </w:style>
  <w:style w:type="paragraph" w:customStyle="1" w:styleId="BodyTextBold">
    <w:name w:val="Body Text Bold"/>
    <w:basedOn w:val="BodyText"/>
    <w:qFormat/>
    <w:rsid w:val="00166A38"/>
    <w:rPr>
      <w:b/>
    </w:rPr>
  </w:style>
  <w:style w:type="character" w:styleId="Hyperlink">
    <w:name w:val="Hyperlink"/>
    <w:basedOn w:val="DefaultParagraphFont"/>
    <w:uiPriority w:val="99"/>
    <w:unhideWhenUsed/>
    <w:rsid w:val="001455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3904</Characters>
  <Application>Microsoft Office Word</Application>
  <DocSecurity>0</DocSecurity>
  <Lines>83</Lines>
  <Paragraphs>50</Paragraphs>
  <ScaleCrop>false</ScaleCrop>
  <Company>Author-it Software Corporation Ltd.</Company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UETTDRSO32 Manage power systems network faults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2021-04-20T06:38:00Z</dcterms:created>
  <dcterms:modified xsi:type="dcterms:W3CDTF">2021-04-20T06:38:00Z</dcterms:modified>
</cp:coreProperties>
</file>