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9B5" w:rsidP="00E049B5">
      <w:pPr>
        <w:pStyle w:val="Title"/>
      </w:pPr>
      <w:r>
        <w:fldChar w:fldCharType="begin"/>
      </w:r>
      <w:r>
        <w:instrText xml:space="preserve"> TITLE   \* MERGEFORMAT </w:instrText>
      </w:r>
      <w:r>
        <w:fldChar w:fldCharType="separate"/>
      </w:r>
      <w:r>
        <w:t>Assessment Requirements for UETTDRSB39 Perform power system substation switching operation to a given schedule</w:t>
      </w:r>
      <w:r>
        <w:fldChar w:fldCharType="end"/>
      </w:r>
    </w:p>
    <w:p w:rsidR="00E049B5" w:rsidP="00E049B5">
      <w:pPr>
        <w:pStyle w:val="Version"/>
        <w:sectPr w:rsidSect="00897D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DA9" w:rsidP="00897DA9">
      <w:pPr>
        <w:pStyle w:val="SuperHeading"/>
      </w:pPr>
      <w:r w:rsidRPr="00897DA9">
        <w:t>Assessment Requirements for UETTDRSB39 Perform power system substation switching operation to a given schedule</w:t>
      </w:r>
    </w:p>
    <w:p w:rsidR="00000000" w:rsidRPr="00897DA9" w:rsidP="00897DA9">
      <w:pPr>
        <w:pStyle w:val="Heading1"/>
      </w:pPr>
      <w:bookmarkStart w:id="1" w:name="O_1004768"/>
      <w:bookmarkEnd w:id="1"/>
      <w:r w:rsidRPr="00897DA9">
        <w:t>Modification History</w:t>
      </w:r>
    </w:p>
    <w:tbl>
      <w:tblPr>
        <w:tblW w:w="9497" w:type="dxa"/>
        <w:tblLayout w:type="fixed"/>
        <w:tblCellMar>
          <w:left w:w="62" w:type="dxa"/>
          <w:right w:w="62" w:type="dxa"/>
        </w:tblCellMar>
        <w:tblLook w:val="0000"/>
      </w:tblPr>
      <w:tblGrid>
        <w:gridCol w:w="9497"/>
      </w:tblGrid>
      <w:tr w:rsidTr="00897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DA9" w:rsidP="00897DA9">
            <w:pPr>
              <w:pStyle w:val="BodyText"/>
            </w:pPr>
            <w:r w:rsidRPr="00897DA9">
              <w:t>Release 1. This is the first release of this unit of competency in the UET Transmission, Distribution and Rail Sector Training Package.</w:t>
            </w:r>
          </w:p>
        </w:tc>
      </w:tr>
    </w:tbl>
    <w:p w:rsidR="00000000" w:rsidRPr="00897DA9" w:rsidP="00897DA9">
      <w:pPr>
        <w:pStyle w:val="NoPaddingFontSize1"/>
      </w:pPr>
    </w:p>
    <w:p w:rsidR="00000000" w:rsidRPr="00897DA9" w:rsidP="00897DA9">
      <w:pPr>
        <w:pStyle w:val="AllowPageBreak"/>
      </w:pPr>
    </w:p>
    <w:p w:rsidR="00000000" w:rsidRPr="00897DA9" w:rsidP="00897DA9">
      <w:pPr>
        <w:pStyle w:val="Heading1"/>
      </w:pPr>
      <w:bookmarkStart w:id="2" w:name="O_1004769"/>
      <w:bookmarkEnd w:id="2"/>
      <w:r w:rsidRPr="00897DA9">
        <w:t>Performance Evidence</w:t>
      </w:r>
    </w:p>
    <w:tbl>
      <w:tblPr>
        <w:tblW w:w="9497" w:type="dxa"/>
        <w:tblLayout w:type="fixed"/>
        <w:tblCellMar>
          <w:left w:w="62" w:type="dxa"/>
          <w:right w:w="62" w:type="dxa"/>
        </w:tblCellMar>
        <w:tblLook w:val="0000"/>
      </w:tblPr>
      <w:tblGrid>
        <w:gridCol w:w="9497"/>
      </w:tblGrid>
      <w:tr w:rsidTr="00897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7DA9">
            <w:pPr>
              <w:pStyle w:val="BodyText"/>
              <w:rPr>
                <w:lang w:val="en-NZ"/>
              </w:rPr>
            </w:pPr>
            <w:r w:rsidRPr="00897DA9">
              <w:t>Evidence required to demonstrate competence in this unit must be relevant to a</w:t>
            </w:r>
            <w:r w:rsidRPr="00897DA9">
              <w:t xml:space="preserve">nd satisfy all of the requirements of the elements and performance criteria on at least two separate occasions and include:  </w:t>
            </w:r>
          </w:p>
        </w:tc>
      </w:tr>
      <w:tr w:rsidTr="00897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DA9" w:rsidP="00897DA9">
            <w:pPr>
              <w:pStyle w:val="ListBullet"/>
            </w:pPr>
            <w:r w:rsidRPr="00897DA9">
              <w:t>applying relevant work health and safety (WHS)/occupational health and safety (OHS) requirements, including the use of risk cont</w:t>
            </w:r>
            <w:r w:rsidRPr="00897DA9">
              <w:t xml:space="preserve">rol measures </w:t>
            </w:r>
          </w:p>
          <w:p w:rsidR="00000000" w:rsidRPr="00897DA9" w:rsidP="00897DA9">
            <w:pPr>
              <w:pStyle w:val="ListBullet"/>
            </w:pPr>
            <w:r w:rsidRPr="00897DA9">
              <w:t>applying sustainable energy principles and practices</w:t>
            </w:r>
          </w:p>
          <w:p w:rsidR="00000000" w:rsidRPr="00897DA9" w:rsidP="00897DA9">
            <w:pPr>
              <w:pStyle w:val="ListBullet"/>
            </w:pPr>
            <w:r w:rsidRPr="00897DA9">
              <w:t>checking all the following:</w:t>
            </w:r>
          </w:p>
          <w:p w:rsidR="00000000" w:rsidRPr="00897DA9" w:rsidP="00897DA9">
            <w:pPr>
              <w:pStyle w:val="ListBullet2"/>
            </w:pPr>
            <w:r w:rsidRPr="00897DA9">
              <w:t>approvals/clearances</w:t>
            </w:r>
          </w:p>
          <w:p w:rsidR="00000000" w:rsidRPr="00897DA9" w:rsidP="00897DA9">
            <w:pPr>
              <w:pStyle w:val="ListBullet2"/>
            </w:pPr>
            <w:r w:rsidRPr="00897DA9">
              <w:t>access permits</w:t>
            </w:r>
          </w:p>
          <w:p w:rsidR="00000000" w:rsidRPr="00897DA9" w:rsidP="00897DA9">
            <w:pPr>
              <w:pStyle w:val="ListBullet"/>
            </w:pPr>
            <w:r w:rsidRPr="00897DA9">
              <w:t>using all the following:</w:t>
            </w:r>
          </w:p>
          <w:p w:rsidR="00000000" w:rsidRPr="00897DA9" w:rsidP="00897DA9">
            <w:pPr>
              <w:pStyle w:val="ListBullet2"/>
            </w:pPr>
            <w:r w:rsidRPr="00897DA9">
              <w:t>operating sticks</w:t>
            </w:r>
          </w:p>
          <w:p w:rsidR="00000000" w:rsidRPr="00897DA9" w:rsidP="00897DA9">
            <w:pPr>
              <w:pStyle w:val="ListBullet2"/>
            </w:pPr>
            <w:r w:rsidRPr="00897DA9">
              <w:t>operating earths</w:t>
            </w:r>
          </w:p>
          <w:p w:rsidR="00000000" w:rsidRPr="00897DA9" w:rsidP="00897DA9">
            <w:pPr>
              <w:pStyle w:val="ListBullet2"/>
            </w:pPr>
            <w:r w:rsidRPr="00897DA9">
              <w:t>voltage detectors</w:t>
            </w:r>
          </w:p>
          <w:p w:rsidR="00000000" w:rsidRPr="00897DA9" w:rsidP="00897DA9">
            <w:pPr>
              <w:pStyle w:val="ListBullet"/>
            </w:pPr>
            <w:r w:rsidRPr="00897DA9">
              <w:t>using all the following:</w:t>
            </w:r>
          </w:p>
          <w:p w:rsidR="00000000" w:rsidRPr="00897DA9" w:rsidP="00897DA9">
            <w:pPr>
              <w:pStyle w:val="ListBullet2"/>
            </w:pPr>
            <w:r w:rsidRPr="00897DA9">
              <w:t>phasing equipment</w:t>
            </w:r>
          </w:p>
          <w:p w:rsidR="00000000" w:rsidRPr="00897DA9" w:rsidP="00897DA9">
            <w:pPr>
              <w:pStyle w:val="ListBullet2"/>
            </w:pPr>
            <w:r w:rsidRPr="00897DA9">
              <w:t>ground equipment isolating handles and earths</w:t>
            </w:r>
          </w:p>
          <w:p w:rsidR="00000000" w:rsidRPr="00897DA9" w:rsidP="00897DA9">
            <w:pPr>
              <w:pStyle w:val="ListBullet"/>
            </w:pPr>
            <w:r w:rsidRPr="00897DA9">
              <w:t>using at least one (1) of the following:</w:t>
            </w:r>
          </w:p>
          <w:p w:rsidR="00000000" w:rsidRPr="00897DA9" w:rsidP="00897DA9">
            <w:pPr>
              <w:pStyle w:val="ListBullet2"/>
            </w:pPr>
            <w:r w:rsidRPr="00897DA9">
              <w:t>links</w:t>
            </w:r>
          </w:p>
          <w:p w:rsidR="00000000" w:rsidRPr="00897DA9" w:rsidP="00897DA9">
            <w:pPr>
              <w:pStyle w:val="ListBullet2"/>
            </w:pPr>
            <w:r w:rsidRPr="00897DA9">
              <w:t>air break switches</w:t>
            </w:r>
          </w:p>
          <w:p w:rsidR="00000000" w:rsidRPr="00897DA9" w:rsidP="00897DA9">
            <w:pPr>
              <w:pStyle w:val="ListBullet2"/>
            </w:pPr>
            <w:r w:rsidRPr="00897DA9">
              <w:t>fuses</w:t>
            </w:r>
          </w:p>
          <w:p w:rsidR="00000000" w:rsidRPr="00897DA9" w:rsidP="00897DA9">
            <w:pPr>
              <w:pStyle w:val="ListBullet"/>
            </w:pPr>
            <w:r w:rsidRPr="00897DA9">
              <w:t>using at least two (2) of the following:</w:t>
            </w:r>
          </w:p>
          <w:p w:rsidR="00000000" w:rsidRPr="00897DA9" w:rsidP="00897DA9">
            <w:pPr>
              <w:pStyle w:val="ListBullet2"/>
            </w:pPr>
            <w:r w:rsidRPr="00897DA9">
              <w:t>reclosers</w:t>
            </w:r>
          </w:p>
          <w:p w:rsidR="00000000" w:rsidRPr="00897DA9" w:rsidP="00897DA9">
            <w:pPr>
              <w:pStyle w:val="ListBullet2"/>
            </w:pPr>
            <w:r w:rsidRPr="00897DA9">
              <w:t>ring main units</w:t>
            </w:r>
          </w:p>
          <w:p w:rsidR="00000000" w:rsidRPr="00897DA9" w:rsidP="00897DA9">
            <w:pPr>
              <w:pStyle w:val="ListBullet2"/>
            </w:pPr>
            <w:r w:rsidRPr="00897DA9">
              <w:t>circuit breakers</w:t>
            </w:r>
          </w:p>
          <w:p w:rsidR="00000000" w:rsidRPr="00897DA9" w:rsidP="00897DA9">
            <w:pPr>
              <w:pStyle w:val="ListBullet"/>
            </w:pPr>
            <w:r w:rsidRPr="00897DA9">
              <w:t xml:space="preserve">dealing </w:t>
            </w:r>
            <w:r w:rsidRPr="00897DA9">
              <w:t>with unplanned events on at least one (1) occasion.</w:t>
            </w:r>
          </w:p>
        </w:tc>
      </w:tr>
    </w:tbl>
    <w:p w:rsidR="00000000" w:rsidRPr="00897DA9" w:rsidP="00897DA9">
      <w:pPr>
        <w:pStyle w:val="NoPaddingFontSize1"/>
      </w:pPr>
    </w:p>
    <w:p w:rsidR="00000000" w:rsidRPr="00897DA9" w:rsidP="00897DA9">
      <w:pPr>
        <w:pStyle w:val="AllowPageBreak"/>
      </w:pPr>
    </w:p>
    <w:p w:rsidR="00000000" w:rsidRPr="00897DA9" w:rsidP="00897DA9">
      <w:pPr>
        <w:pStyle w:val="Heading1"/>
      </w:pPr>
      <w:bookmarkStart w:id="3" w:name="O_1004770"/>
      <w:bookmarkEnd w:id="3"/>
      <w:r w:rsidRPr="00897DA9">
        <w:t>Knowledge Evidence</w:t>
      </w:r>
    </w:p>
    <w:tbl>
      <w:tblPr>
        <w:tblW w:w="9497" w:type="dxa"/>
        <w:tblLayout w:type="fixed"/>
        <w:tblCellMar>
          <w:left w:w="62" w:type="dxa"/>
          <w:right w:w="62" w:type="dxa"/>
        </w:tblCellMar>
        <w:tblLook w:val="0000"/>
      </w:tblPr>
      <w:tblGrid>
        <w:gridCol w:w="9497"/>
      </w:tblGrid>
      <w:tr w:rsidTr="00897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7DA9">
            <w:pPr>
              <w:pStyle w:val="BodyText"/>
              <w:rPr>
                <w:lang w:val="en-NZ"/>
              </w:rPr>
            </w:pPr>
            <w:r w:rsidRPr="00897DA9">
              <w:t>Evidence required to demonstrate competence in this unit must be relevant to and satisfy all of the requirements of the elements and performance criteria and includ</w:t>
            </w:r>
            <w:r w:rsidRPr="00897DA9">
              <w:t>e knowledge of:</w:t>
            </w:r>
          </w:p>
        </w:tc>
      </w:tr>
      <w:tr w:rsidTr="00897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DA9" w:rsidP="00897DA9">
            <w:pPr>
              <w:pStyle w:val="ListBullet"/>
            </w:pPr>
            <w:r w:rsidRPr="00897DA9">
              <w:t>installation of switchgear and associated equipment, including:</w:t>
            </w:r>
          </w:p>
          <w:p w:rsidR="00000000" w:rsidRPr="00897DA9" w:rsidP="00897DA9">
            <w:pPr>
              <w:pStyle w:val="ListBullet2"/>
            </w:pPr>
            <w:r w:rsidRPr="00897DA9">
              <w:t xml:space="preserve">types and function of various switchgear - isolators, air-break switches, gas-filled switches, </w:t>
            </w:r>
            <w:r w:rsidRPr="00897DA9">
              <w:t>vacuum type, links, fuses, oil disconnectors, fuse switches, circuit breakers, operating characteristics, advantages and disadvantages of different types switchgear, installation procedures, earthing, and requirements and techniques</w:t>
            </w:r>
          </w:p>
          <w:p w:rsidR="00000000" w:rsidRPr="00897DA9" w:rsidP="00897DA9">
            <w:pPr>
              <w:pStyle w:val="ListBullet2"/>
            </w:pPr>
            <w:r w:rsidRPr="00897DA9">
              <w:t>types of equipment - tr</w:t>
            </w:r>
            <w:r w:rsidRPr="00897DA9">
              <w:t>ansformers, reactors, regulators, capacitors, relays, surge arrestors, fault indicators and mobile generators</w:t>
            </w:r>
          </w:p>
          <w:p w:rsidR="00000000" w:rsidRPr="00897DA9" w:rsidP="00897DA9">
            <w:pPr>
              <w:pStyle w:val="ListBullet2"/>
            </w:pPr>
            <w:r w:rsidRPr="00897DA9">
              <w:t>installation procedures for switchgear and equipment - standards, codes, legislation, supply authority regulations and/or enterprise requirements,</w:t>
            </w:r>
            <w:r w:rsidRPr="00897DA9">
              <w:t xml:space="preserve"> assembly and erecting procedures, earthing requirements and techniques, and pole mounted locations</w:t>
            </w:r>
          </w:p>
          <w:p w:rsidR="00000000" w:rsidRPr="00897DA9" w:rsidP="00897DA9">
            <w:pPr>
              <w:pStyle w:val="ListBullet2"/>
            </w:pPr>
            <w:r w:rsidRPr="00897DA9">
              <w:t>maintenance procedures for switchgear and equipment - diagnosing and rectifying faults according to electricity supply industry (ESI) standards and procedur</w:t>
            </w:r>
            <w:r w:rsidRPr="00897DA9">
              <w:t>es</w:t>
            </w:r>
          </w:p>
          <w:p w:rsidR="00000000" w:rsidRPr="00897DA9" w:rsidP="00897DA9">
            <w:pPr>
              <w:pStyle w:val="ListBullet2"/>
            </w:pPr>
            <w:r w:rsidRPr="00897DA9">
              <w:t>testing and commissioning - ESI standards and procedures</w:t>
            </w:r>
          </w:p>
          <w:p w:rsidR="00000000" w:rsidRPr="00897DA9" w:rsidP="00897DA9">
            <w:pPr>
              <w:pStyle w:val="ListBullet"/>
            </w:pPr>
            <w:r w:rsidRPr="00897DA9">
              <w:t>low voltage (LV) switching principles including:</w:t>
            </w:r>
          </w:p>
          <w:p w:rsidR="00000000" w:rsidRPr="00897DA9" w:rsidP="00897DA9">
            <w:pPr>
              <w:pStyle w:val="ListBullet2"/>
            </w:pPr>
            <w:r w:rsidRPr="00897DA9">
              <w:t>standards, codes, legislation, supply authority regulations and/or enterprise requirements applicable to switching of LV to a given schedule</w:t>
            </w:r>
          </w:p>
          <w:p w:rsidR="00000000" w:rsidRPr="00897DA9" w:rsidP="00897DA9">
            <w:pPr>
              <w:pStyle w:val="ListBullet2"/>
            </w:pPr>
            <w:r w:rsidRPr="00897DA9">
              <w:t>requirements for the use of manuals, system diagrams/plans and drawings - types, characteristics and capabilities of electrical apparatus; use, characteristics and capabilities of specialised tools and testing equipment; and LV network interconnectors sour</w:t>
            </w:r>
            <w:r w:rsidRPr="00897DA9">
              <w:t>ce of possible back-feed</w:t>
            </w:r>
          </w:p>
          <w:p w:rsidR="00000000" w:rsidRPr="00897DA9" w:rsidP="00897DA9">
            <w:pPr>
              <w:pStyle w:val="ListBullet2"/>
            </w:pPr>
            <w:r w:rsidRPr="00897DA9">
              <w:t>LV switching techniques - identifying hazards, assessing and controlling risks associated with LV switching operations, electrical access permit(s), operational procedures and earthing procedures</w:t>
            </w:r>
          </w:p>
          <w:p w:rsidR="00000000" w:rsidRPr="00897DA9" w:rsidP="00897DA9">
            <w:pPr>
              <w:pStyle w:val="ListBullet2"/>
            </w:pPr>
            <w:r w:rsidRPr="00897DA9">
              <w:t>personnel protective equipment (PPE</w:t>
            </w:r>
            <w:r w:rsidRPr="00897DA9">
              <w:t>) for LV switching</w:t>
            </w:r>
          </w:p>
          <w:p w:rsidR="00000000" w:rsidRPr="00897DA9" w:rsidP="00897DA9">
            <w:pPr>
              <w:pStyle w:val="ListBullet"/>
            </w:pPr>
            <w:r w:rsidRPr="00897DA9">
              <w:t>high voltage (HV) switching principles, including:</w:t>
            </w:r>
          </w:p>
          <w:p w:rsidR="00000000" w:rsidRPr="00897DA9" w:rsidP="00897DA9">
            <w:pPr>
              <w:pStyle w:val="ListBullet2"/>
            </w:pPr>
            <w:r w:rsidRPr="00897DA9">
              <w:t>standards, codes, legislation, supply authority regulations and/or enterprise requirements applicable to switching of HV to a given schedule</w:t>
            </w:r>
          </w:p>
          <w:p w:rsidR="00000000" w:rsidRPr="00897DA9" w:rsidP="00897DA9">
            <w:pPr>
              <w:pStyle w:val="ListBullet2"/>
            </w:pPr>
            <w:r w:rsidRPr="00897DA9">
              <w:t>requirements for the use of manuals, system</w:t>
            </w:r>
            <w:r w:rsidRPr="00897DA9">
              <w:t xml:space="preserve"> diagrams/plans and drawings - types, characteristics and capabilities of electrical apparatus; use, characteristics and capabilities of specialised tools and testing equipment; and network interconnectors source of possible back-feed</w:t>
            </w:r>
          </w:p>
          <w:p w:rsidR="00000000" w:rsidRPr="00897DA9" w:rsidP="00897DA9">
            <w:pPr>
              <w:pStyle w:val="ListBullet2"/>
            </w:pPr>
            <w:r w:rsidRPr="00897DA9">
              <w:t>role of the HV switch</w:t>
            </w:r>
            <w:r w:rsidRPr="00897DA9">
              <w:t>ing operator</w:t>
            </w:r>
          </w:p>
          <w:p w:rsidR="00000000" w:rsidRPr="00897DA9" w:rsidP="00897DA9">
            <w:pPr>
              <w:pStyle w:val="ListBullet2"/>
            </w:pPr>
            <w:r w:rsidRPr="00897DA9">
              <w:t>operational forms, access authorities and permits associated with HV switching - types of operational forms, access authorities and permits, purpose and procedure for operational forms, and access authorities and permits</w:t>
            </w:r>
          </w:p>
          <w:p w:rsidR="00000000" w:rsidRPr="00897DA9" w:rsidP="00897DA9">
            <w:pPr>
              <w:pStyle w:val="ListBullet2"/>
            </w:pPr>
            <w:r w:rsidRPr="00897DA9">
              <w:t>use and operation of e</w:t>
            </w:r>
            <w:r w:rsidRPr="00897DA9">
              <w:t>quipment associated with HV overhead and substation equipment - test instruments, sticks, interrupters and arc stranglers</w:t>
            </w:r>
          </w:p>
          <w:p w:rsidR="00000000" w:rsidRPr="00897DA9" w:rsidP="00897DA9">
            <w:pPr>
              <w:pStyle w:val="ListBullet2"/>
            </w:pPr>
            <w:r w:rsidRPr="00897DA9">
              <w:t>types and categories of HV switchgear</w:t>
            </w:r>
          </w:p>
          <w:p w:rsidR="00000000" w:rsidRPr="00897DA9" w:rsidP="00897DA9">
            <w:pPr>
              <w:pStyle w:val="ListBullet2"/>
            </w:pPr>
            <w:r w:rsidRPr="00897DA9">
              <w:t>application, function and operating capabilities of switchgear</w:t>
            </w:r>
          </w:p>
          <w:p w:rsidR="00000000" w:rsidRPr="00897DA9" w:rsidP="00897DA9">
            <w:pPr>
              <w:pStyle w:val="ListBullet2"/>
            </w:pPr>
            <w:r w:rsidRPr="00897DA9">
              <w:t>restrictions pertaining to HV swi</w:t>
            </w:r>
            <w:r w:rsidRPr="00897DA9">
              <w:t>tching equipment</w:t>
            </w:r>
          </w:p>
          <w:p w:rsidR="00000000" w:rsidRPr="00897DA9" w:rsidP="00897DA9">
            <w:pPr>
              <w:pStyle w:val="ListBullet2"/>
            </w:pPr>
            <w:r w:rsidRPr="00897DA9">
              <w:t>procedures for the isolation of HV transmission main and working earths</w:t>
            </w:r>
          </w:p>
          <w:p w:rsidR="00000000" w:rsidRPr="00897DA9" w:rsidP="00897DA9">
            <w:pPr>
              <w:pStyle w:val="ListBullet2"/>
            </w:pPr>
            <w:r w:rsidRPr="00897DA9">
              <w:t>earthing HV electrical app</w:t>
            </w:r>
            <w:r w:rsidRPr="00897DA9">
              <w:t xml:space="preserve">aratus practices and procedures for access - purposes of operational and additional work part on-site earths, factors determining the location and </w:t>
            </w:r>
            <w:r w:rsidRPr="00897DA9">
              <w:t>effectiveness of operational earthing, acceptable industry procedures, PPE and HV switching techniques</w:t>
            </w:r>
          </w:p>
          <w:p w:rsidR="00000000" w:rsidRPr="00897DA9" w:rsidP="00897DA9">
            <w:pPr>
              <w:pStyle w:val="ListBullet2"/>
            </w:pPr>
            <w:r w:rsidRPr="00897DA9">
              <w:t>operat</w:t>
            </w:r>
            <w:r w:rsidRPr="00897DA9">
              <w:t>e switching apparatus - identifying hazards, assessing and controlling risks associated with HV switchgear operation, systematic and defensive techniques, mobile radio procedures and double isolation procedures</w:t>
            </w:r>
          </w:p>
          <w:p w:rsidR="00000000" w:rsidRPr="00897DA9" w:rsidP="00897DA9">
            <w:pPr>
              <w:pStyle w:val="ListBullet"/>
            </w:pPr>
            <w:r w:rsidRPr="00897DA9">
              <w:t>HV fault switching principles, including:</w:t>
            </w:r>
          </w:p>
          <w:p w:rsidR="00000000" w:rsidRPr="00897DA9" w:rsidP="00897DA9">
            <w:pPr>
              <w:pStyle w:val="ListBullet2"/>
            </w:pPr>
            <w:r w:rsidRPr="00897DA9">
              <w:t>p</w:t>
            </w:r>
            <w:r w:rsidRPr="00897DA9">
              <w:t>rimary causes, effects and types of HV electrical faults</w:t>
            </w:r>
          </w:p>
          <w:p w:rsidR="00000000" w:rsidRPr="00897DA9" w:rsidP="00897DA9">
            <w:pPr>
              <w:pStyle w:val="ListBullet2"/>
            </w:pPr>
            <w:r w:rsidRPr="00897DA9">
              <w:t>HV protection devices - main components, types, categories, applications and functions</w:t>
            </w:r>
          </w:p>
          <w:p w:rsidR="00000000" w:rsidRPr="00897DA9" w:rsidP="00897DA9">
            <w:pPr>
              <w:pStyle w:val="ListBullet2"/>
            </w:pPr>
            <w:r w:rsidRPr="00897DA9">
              <w:t>basic principle of operation of HV system protection devices</w:t>
            </w:r>
          </w:p>
          <w:p w:rsidR="00000000" w:rsidRPr="00897DA9" w:rsidP="00897DA9">
            <w:pPr>
              <w:pStyle w:val="ListBullet2"/>
            </w:pPr>
            <w:r w:rsidRPr="00897DA9">
              <w:t>protection coordination and protection zoning</w:t>
            </w:r>
          </w:p>
          <w:p w:rsidR="00000000" w:rsidRPr="00897DA9" w:rsidP="00897DA9">
            <w:pPr>
              <w:pStyle w:val="ListBullet2"/>
            </w:pPr>
            <w:r w:rsidRPr="00897DA9">
              <w:t>HV fe</w:t>
            </w:r>
            <w:r w:rsidRPr="00897DA9">
              <w:t>eder auto-reclosing suppression – function and application</w:t>
            </w:r>
          </w:p>
          <w:p w:rsidR="00000000" w:rsidRPr="00897DA9" w:rsidP="00897DA9">
            <w:pPr>
              <w:pStyle w:val="ListBullet2"/>
            </w:pPr>
            <w:r w:rsidRPr="00897DA9">
              <w:t>circuit condition requirements and switching considerations when paralleling and separating HV feeders</w:t>
            </w:r>
          </w:p>
          <w:p w:rsidR="00000000" w:rsidRPr="00897DA9" w:rsidP="00897DA9">
            <w:pPr>
              <w:pStyle w:val="ListBullet"/>
            </w:pPr>
            <w:r w:rsidRPr="00897DA9">
              <w:t>HV distribution transformer principles, including:</w:t>
            </w:r>
          </w:p>
          <w:p w:rsidR="00000000" w:rsidRPr="00897DA9" w:rsidP="00897DA9">
            <w:pPr>
              <w:pStyle w:val="ListBullet2"/>
            </w:pPr>
            <w:r w:rsidRPr="00897DA9">
              <w:t>operation of HV distribution transformers</w:t>
            </w:r>
            <w:r w:rsidRPr="00897DA9">
              <w:t xml:space="preserve"> - principle governing factors for transformer ratings, protection and alarms, operating limitations and the relationship between transformer and HV fuse rating, purpose and principle operation of HV distribution transformer tap changers, HV distribution t</w:t>
            </w:r>
            <w:r w:rsidRPr="00897DA9">
              <w:t>ransformer and transformer-cable combination switching practices, paralleling requirements, isolation and earthing procedures for access, common distribution transformer and associated electrical apparatus faults</w:t>
            </w:r>
          </w:p>
          <w:p w:rsidR="00000000" w:rsidRPr="00897DA9" w:rsidP="00897DA9">
            <w:pPr>
              <w:pStyle w:val="ListBullet2"/>
            </w:pPr>
            <w:r w:rsidRPr="00897DA9">
              <w:t>HV underground switching equipment - arc st</w:t>
            </w:r>
            <w:r w:rsidRPr="00897DA9">
              <w:t>ranglers, switch operation, load break elbows, switching cubicles, canister fuses, bayonet fuses, F and G switching cubicles, voltage indicators and phasing testers</w:t>
            </w:r>
          </w:p>
          <w:p w:rsidR="00000000" w:rsidRPr="00897DA9" w:rsidP="00897DA9">
            <w:pPr>
              <w:pStyle w:val="ListBullet"/>
            </w:pPr>
            <w:r w:rsidRPr="00897DA9">
              <w:t>HV single wire earth return (SWER) system, including:</w:t>
            </w:r>
          </w:p>
          <w:p w:rsidR="00000000" w:rsidRPr="00897DA9" w:rsidP="00897DA9">
            <w:pPr>
              <w:pStyle w:val="ListBullet2"/>
            </w:pPr>
            <w:r w:rsidRPr="00897DA9">
              <w:t>application and function of SWER sy</w:t>
            </w:r>
            <w:r w:rsidRPr="00897DA9">
              <w:t>stem components</w:t>
            </w:r>
          </w:p>
          <w:p w:rsidR="00000000" w:rsidRPr="00897DA9" w:rsidP="00897DA9">
            <w:pPr>
              <w:pStyle w:val="ListBullet2"/>
            </w:pPr>
            <w:r w:rsidRPr="00897DA9">
              <w:t>circuit arrangement</w:t>
            </w:r>
          </w:p>
          <w:p w:rsidR="00000000" w:rsidRPr="00897DA9" w:rsidP="00897DA9">
            <w:pPr>
              <w:pStyle w:val="ListBullet2"/>
            </w:pPr>
            <w:r w:rsidRPr="00897DA9">
              <w:t>principle of operation</w:t>
            </w:r>
          </w:p>
          <w:p w:rsidR="00000000" w:rsidRPr="00897DA9" w:rsidP="00897DA9">
            <w:pPr>
              <w:pStyle w:val="ListBullet2"/>
            </w:pPr>
            <w:r w:rsidRPr="00897DA9">
              <w:t>hazards and procedures associated with faulty SWER systems</w:t>
            </w:r>
          </w:p>
          <w:p w:rsidR="00000000" w:rsidRPr="00897DA9" w:rsidP="00897DA9">
            <w:pPr>
              <w:pStyle w:val="ListBullet2"/>
            </w:pPr>
            <w:r w:rsidRPr="00897DA9">
              <w:t>procedure to isolate, energise and commission SWER substations</w:t>
            </w:r>
          </w:p>
          <w:p w:rsidR="00000000" w:rsidRPr="00897DA9" w:rsidP="00897DA9">
            <w:pPr>
              <w:pStyle w:val="ListBullet"/>
            </w:pPr>
            <w:r w:rsidRPr="00897DA9">
              <w:t>feeder automation system, including:</w:t>
            </w:r>
          </w:p>
          <w:p w:rsidR="00000000" w:rsidRPr="00897DA9" w:rsidP="00897DA9">
            <w:pPr>
              <w:pStyle w:val="ListBullet2"/>
            </w:pPr>
            <w:r w:rsidRPr="00897DA9">
              <w:t>function of feeder automation system and the main components</w:t>
            </w:r>
          </w:p>
          <w:p w:rsidR="00000000" w:rsidRPr="00897DA9" w:rsidP="00897DA9">
            <w:pPr>
              <w:pStyle w:val="ListBullet2"/>
            </w:pPr>
            <w:r w:rsidRPr="00897DA9">
              <w:t>operation procedure for a remote field device from a local control station</w:t>
            </w:r>
          </w:p>
          <w:p w:rsidR="00000000" w:rsidRPr="00897DA9" w:rsidP="00897DA9">
            <w:pPr>
              <w:pStyle w:val="ListBullet2"/>
            </w:pPr>
            <w:r w:rsidRPr="00897DA9">
              <w:t>functions of supervisory control and data acquisition (SCADA) (or any other relevant data acquisition and control) syste</w:t>
            </w:r>
            <w:r w:rsidRPr="00897DA9">
              <w:t>ms and its main components</w:t>
            </w:r>
          </w:p>
          <w:p w:rsidR="00000000" w:rsidRPr="00897DA9" w:rsidP="00897DA9">
            <w:pPr>
              <w:pStyle w:val="ListBullet2"/>
            </w:pPr>
            <w:r w:rsidRPr="00897DA9">
              <w:t>SCADA system security interlocks and access restrictions</w:t>
            </w:r>
          </w:p>
          <w:p w:rsidR="00000000" w:rsidRPr="00897DA9" w:rsidP="00897DA9">
            <w:pPr>
              <w:pStyle w:val="ListBullet2"/>
            </w:pPr>
            <w:r w:rsidRPr="00897DA9">
              <w:t>SCADA system operation when switching apparatus or retrieving data via a remote access device, such as remote access terminal (RAT), dial up voice annunciated system and lo</w:t>
            </w:r>
            <w:r w:rsidRPr="00897DA9">
              <w:t>cal control station</w:t>
            </w:r>
          </w:p>
          <w:p w:rsidR="00000000" w:rsidRPr="00897DA9" w:rsidP="00897DA9">
            <w:pPr>
              <w:pStyle w:val="ListBullet2"/>
            </w:pPr>
            <w:r w:rsidRPr="00897DA9">
              <w:t>function of the main components of a local/remote control system</w:t>
            </w:r>
          </w:p>
          <w:p w:rsidR="00000000" w:rsidRPr="00897DA9" w:rsidP="00897DA9">
            <w:pPr>
              <w:pStyle w:val="ListBullet2"/>
            </w:pPr>
            <w:r w:rsidRPr="00897DA9">
              <w:t>operation of a field devices using SCADA systems via a RAT, dial up annunciated system and local control station</w:t>
            </w:r>
          </w:p>
          <w:p w:rsidR="00000000" w:rsidRPr="00897DA9" w:rsidP="00897DA9">
            <w:pPr>
              <w:pStyle w:val="ListBullet"/>
            </w:pPr>
            <w:r w:rsidRPr="00897DA9">
              <w:t>HV overhead and substation switching principles, includin</w:t>
            </w:r>
            <w:r w:rsidRPr="00897DA9">
              <w:t>g:</w:t>
            </w:r>
          </w:p>
          <w:p w:rsidR="00000000" w:rsidRPr="00897DA9" w:rsidP="00897DA9">
            <w:pPr>
              <w:pStyle w:val="ListBullet2"/>
            </w:pPr>
            <w:r w:rsidRPr="00897DA9">
              <w:t>legislation, standards, codes, supply authority regulations and/or enterprise requirements applicable to HV overhead and substation switching</w:t>
            </w:r>
          </w:p>
          <w:p w:rsidR="00000000" w:rsidRPr="00897DA9" w:rsidP="00897DA9">
            <w:pPr>
              <w:pStyle w:val="ListBullet2"/>
            </w:pPr>
            <w:r w:rsidRPr="00897DA9">
              <w:t>requirements for the use of manuals, system diagrams/plans and drawings - types, characteristics and capabilities of HV electrical equipment to be switched; use, characteristics and capabilities of specialised tools and testing equipment</w:t>
            </w:r>
          </w:p>
          <w:p w:rsidR="00000000" w:rsidRPr="00897DA9" w:rsidP="00897DA9">
            <w:pPr>
              <w:pStyle w:val="ListBullet2"/>
            </w:pPr>
            <w:r w:rsidRPr="00897DA9">
              <w:t>role and responsib</w:t>
            </w:r>
            <w:r w:rsidRPr="00897DA9">
              <w:t>ilities of the HV switching operator</w:t>
            </w:r>
          </w:p>
          <w:p w:rsidR="00000000" w:rsidRPr="00897DA9" w:rsidP="00897DA9">
            <w:pPr>
              <w:pStyle w:val="ListBullet2"/>
            </w:pPr>
            <w:r w:rsidRPr="00897DA9">
              <w:t>operational forms, access authorities and permits hazard/risk assessments associated with HV switching - types of operational forms, access authorities and permits hazard/risk assessments, purpose and procedure for oper</w:t>
            </w:r>
            <w:r w:rsidRPr="00897DA9">
              <w:t>ational forms, access authorities and hazard/risk assessments</w:t>
            </w:r>
          </w:p>
          <w:p w:rsidR="00000000" w:rsidRPr="00897DA9" w:rsidP="00897DA9">
            <w:pPr>
              <w:pStyle w:val="ListBullet2"/>
            </w:pPr>
            <w:r w:rsidRPr="00897DA9">
              <w:t>use and operation of equipment associated with HV overhead and substation equipment - test instruments, sticks, interrupters and arc stranglers</w:t>
            </w:r>
          </w:p>
          <w:p w:rsidR="00000000" w:rsidRPr="00897DA9" w:rsidP="00897DA9">
            <w:pPr>
              <w:pStyle w:val="ListBullet2"/>
            </w:pPr>
            <w:r w:rsidRPr="00897DA9">
              <w:t>HV switchgear – types, categories, application and</w:t>
            </w:r>
            <w:r w:rsidRPr="00897DA9">
              <w:t xml:space="preserve"> operating capabilities</w:t>
            </w:r>
          </w:p>
          <w:p w:rsidR="00000000" w:rsidRPr="00897DA9" w:rsidP="00897DA9">
            <w:pPr>
              <w:pStyle w:val="ListBullet2"/>
            </w:pPr>
            <w:r w:rsidRPr="00897DA9">
              <w:t>operation of HV overhead switching or indicating devices - fuses, disconnect fuses, load switching, live line indicators, capacitors, reclosers, sectionalisers, underslung links, airbreaks, switches, disconnects, live line clamps, p</w:t>
            </w:r>
            <w:r w:rsidRPr="00897DA9">
              <w:t>hasing sticks and phasing tester</w:t>
            </w:r>
          </w:p>
          <w:p w:rsidR="00000000" w:rsidRPr="00897DA9" w:rsidP="00897DA9">
            <w:pPr>
              <w:pStyle w:val="ListBullet2"/>
            </w:pPr>
            <w:r w:rsidRPr="00897DA9">
              <w:t>operation of protection systems and substation equipment - fault levels and settings, types and applications, protection systems and substation equipment fault levels and settings, and types and applications</w:t>
            </w:r>
          </w:p>
          <w:p w:rsidR="00000000" w:rsidRPr="00897DA9" w:rsidP="00897DA9">
            <w:pPr>
              <w:pStyle w:val="ListBullet2"/>
            </w:pPr>
            <w:r w:rsidRPr="00897DA9">
              <w:t>restrictions pe</w:t>
            </w:r>
            <w:r w:rsidRPr="00897DA9">
              <w:t>rtaining to HV switching equipment</w:t>
            </w:r>
          </w:p>
          <w:p w:rsidR="00000000" w:rsidRPr="00897DA9" w:rsidP="00897DA9">
            <w:pPr>
              <w:pStyle w:val="ListBullet2"/>
            </w:pPr>
            <w:r w:rsidRPr="00897DA9">
              <w:t>procedures for the isolation of HV mains and working earths - earthing HV electrical apparatus practices and procedures for access authority issuing, and HV switching techniques</w:t>
            </w:r>
          </w:p>
          <w:p w:rsidR="00000000" w:rsidRPr="00897DA9" w:rsidP="00897DA9">
            <w:pPr>
              <w:pStyle w:val="ListBullet2"/>
            </w:pPr>
            <w:r w:rsidRPr="00897DA9">
              <w:t>operating switching apparatus - identifying</w:t>
            </w:r>
            <w:r w:rsidRPr="00897DA9">
              <w:t xml:space="preserve"> hazards, assessing and controlling risks associated with HV switchgear operation, systematic and defensive techniques, mobile radio procedures and double isolation procedures.</w:t>
            </w:r>
          </w:p>
        </w:tc>
      </w:tr>
    </w:tbl>
    <w:p w:rsidR="00000000" w:rsidRPr="00897DA9" w:rsidP="00897DA9">
      <w:pPr>
        <w:pStyle w:val="NoPaddingFontSize1"/>
      </w:pPr>
    </w:p>
    <w:p w:rsidR="00000000" w:rsidRPr="00897DA9" w:rsidP="00897DA9">
      <w:pPr>
        <w:pStyle w:val="AllowPageBreak"/>
      </w:pPr>
    </w:p>
    <w:p w:rsidR="00000000" w:rsidRPr="00897DA9" w:rsidP="00897DA9">
      <w:pPr>
        <w:pStyle w:val="Heading1"/>
      </w:pPr>
      <w:bookmarkStart w:id="4" w:name="O_1004771"/>
      <w:bookmarkEnd w:id="4"/>
      <w:r w:rsidRPr="00897DA9">
        <w:t>Assessment Conditions</w:t>
      </w:r>
    </w:p>
    <w:tbl>
      <w:tblPr>
        <w:tblW w:w="9497" w:type="dxa"/>
        <w:tblLayout w:type="fixed"/>
        <w:tblCellMar>
          <w:left w:w="62" w:type="dxa"/>
          <w:right w:w="62" w:type="dxa"/>
        </w:tblCellMar>
        <w:tblLook w:val="0000"/>
      </w:tblPr>
      <w:tblGrid>
        <w:gridCol w:w="9497"/>
      </w:tblGrid>
      <w:tr w:rsidTr="00897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7DA9" w:rsidP="00897DA9">
            <w:pPr>
              <w:pStyle w:val="BodyText"/>
            </w:pPr>
            <w:r w:rsidRPr="00897DA9">
              <w:t>Assessors must hold credentials spec</w:t>
            </w:r>
            <w:r w:rsidRPr="00897DA9">
              <w:t>ified within the Standards for Registered Training Organisations current at the time of assessment.</w:t>
            </w:r>
          </w:p>
          <w:p w:rsidR="00000000" w:rsidRPr="00897DA9" w:rsidP="00897DA9">
            <w:pPr>
              <w:pStyle w:val="BodyText"/>
            </w:pPr>
            <w:r w:rsidRPr="00897DA9">
              <w:t>Assessment must satisfy the Principles of Assessment and Rules of Evidence and all regulatory requirements included within the Standards for Registered Training Organisations current at the time of assessment.</w:t>
            </w:r>
          </w:p>
          <w:p w:rsidR="00000000" w:rsidRPr="00897DA9" w:rsidP="00897DA9">
            <w:pPr>
              <w:pStyle w:val="BodyText"/>
            </w:pPr>
            <w:r w:rsidRPr="00897DA9">
              <w:t>Assessment must occur in workplace operational</w:t>
            </w:r>
            <w:r w:rsidRPr="00897DA9">
              <w:t xml:space="preserve"> situations where it is appropriate to do so; where this is not appropriate, assessment must occur in simulated conditions involving realistic and authentic activities that replicate operational workplace conditions.</w:t>
            </w:r>
          </w:p>
          <w:p w:rsidR="00000000" w:rsidRPr="00897DA9" w:rsidP="00897DA9">
            <w:pPr>
              <w:pStyle w:val="BodyText"/>
            </w:pPr>
            <w:r w:rsidRPr="00897DA9">
              <w:t>Assessment processes and techniques mus</w:t>
            </w:r>
            <w:r w:rsidRPr="00897DA9">
              <w:t>t be appropriate to the language, literacy and numeracy requirements of the work being performed and the needs of the candidate.</w:t>
            </w:r>
          </w:p>
          <w:p w:rsidR="00000000" w:rsidRPr="00897DA9" w:rsidP="00897DA9">
            <w:pPr>
              <w:pStyle w:val="BodyText"/>
            </w:pPr>
            <w:r w:rsidRPr="00897DA9">
              <w:t>Resources for assessment must include access to:</w:t>
            </w:r>
          </w:p>
          <w:p w:rsidR="00000000" w:rsidRPr="00897DA9" w:rsidP="00897DA9">
            <w:pPr>
              <w:pStyle w:val="ListBullet"/>
            </w:pPr>
            <w:r w:rsidRPr="00897DA9">
              <w:t>a range of relevant exercises, case studies and/or other simulations</w:t>
            </w:r>
          </w:p>
          <w:p w:rsidR="00000000" w:rsidRPr="00897DA9" w:rsidP="00897DA9">
            <w:pPr>
              <w:pStyle w:val="ListBullet"/>
            </w:pPr>
            <w:r w:rsidRPr="00897DA9">
              <w:t>relevant</w:t>
            </w:r>
            <w:r w:rsidRPr="00897DA9">
              <w:t xml:space="preserve"> and appropriate materials, tools, facilities, equipment and PPE currently used in industry performing power system substation switching operations to a given schedule</w:t>
            </w:r>
          </w:p>
          <w:p w:rsidR="00000000" w:rsidRPr="00897DA9" w:rsidP="00897DA9">
            <w:pPr>
              <w:pStyle w:val="ListBullet"/>
            </w:pPr>
            <w:r w:rsidRPr="00897DA9">
              <w:t>applicable documentation, including workplace procedures, relevant industry standards, e</w:t>
            </w:r>
            <w:r w:rsidRPr="00897DA9">
              <w:t>quipment specifications, regulations, codes of practice and operation manuals.</w:t>
            </w:r>
          </w:p>
        </w:tc>
      </w:tr>
    </w:tbl>
    <w:p w:rsidR="00000000" w:rsidRPr="00897DA9" w:rsidP="00897DA9">
      <w:pPr>
        <w:pStyle w:val="NoPaddingFontSize1"/>
      </w:pPr>
    </w:p>
    <w:p w:rsidR="00000000" w:rsidRPr="00897DA9" w:rsidP="00897DA9">
      <w:pPr>
        <w:pStyle w:val="AllowPageBreak"/>
      </w:pPr>
    </w:p>
    <w:p w:rsidR="00000000" w:rsidRPr="00897DA9" w:rsidP="00897DA9">
      <w:pPr>
        <w:pStyle w:val="Heading1"/>
      </w:pPr>
      <w:bookmarkStart w:id="5" w:name="O_1004774"/>
      <w:bookmarkEnd w:id="5"/>
      <w:r w:rsidRPr="00897DA9">
        <w:t>Links</w:t>
      </w:r>
    </w:p>
    <w:p w:rsidR="00000000" w:rsidRPr="00897DA9" w:rsidP="00E049B5">
      <w:pPr>
        <w:pStyle w:val="BodyText"/>
      </w:pPr>
      <w:r w:rsidRPr="00897DA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8289A">
        <w:rPr>
          <w:rStyle w:val="Hyperlink"/>
        </w:rPr>
        <w:t>https://vetnet.gov.au/Pages/TrainingDocs.aspx?q=229bace1-b7bc-4653-9300-dffb13ecfad7</w:t>
      </w:r>
      <w:r>
        <w:fldChar w:fldCharType="end"/>
      </w:r>
    </w:p>
    <w:p w:rsidR="00000000" w:rsidRPr="00897DA9" w:rsidP="00897DA9"/>
    <w:sectPr w:rsidSect="00897D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A9" w:rsidRPr="00E049B5" w:rsidP="00E04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B5" w:rsidP="00897D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49B5" w:rsidP="00897D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49B5" w:rsidP="00897D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DA9" w:rsidRPr="00E049B5" w:rsidP="00E049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B5" w:rsidRPr="002D2AF8" w:rsidP="00897DA9">
    <w:pPr>
      <w:pStyle w:val="Header"/>
      <w:framePr w:wrap="around"/>
    </w:pPr>
    <w:r>
      <w:fldChar w:fldCharType="begin"/>
    </w:r>
    <w:r>
      <w:instrText xml:space="preserve"> TITLE   \* MERGEFORMAT </w:instrText>
    </w:r>
    <w:r>
      <w:fldChar w:fldCharType="separate"/>
    </w:r>
    <w:r>
      <w:t>Assessment Requirements for UETTDRSB39 Perform power system substation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E049B5" w:rsidP="00897D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EC8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E61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5C9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D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DA9"/>
    <w:pPr>
      <w:spacing w:before="360" w:after="60"/>
      <w:outlineLvl w:val="0"/>
    </w:pPr>
    <w:rPr>
      <w:sz w:val="32"/>
    </w:rPr>
  </w:style>
  <w:style w:type="paragraph" w:styleId="Heading2">
    <w:name w:val="heading 2"/>
    <w:basedOn w:val="HeadingBase"/>
    <w:next w:val="BodyText"/>
    <w:link w:val="Heading2Char"/>
    <w:qFormat/>
    <w:rsid w:val="00897DA9"/>
    <w:pPr>
      <w:keepLines/>
      <w:spacing w:before="240" w:after="120"/>
      <w:outlineLvl w:val="1"/>
    </w:pPr>
    <w:rPr>
      <w:sz w:val="28"/>
      <w:szCs w:val="40"/>
    </w:rPr>
  </w:style>
  <w:style w:type="paragraph" w:styleId="Heading3">
    <w:name w:val="heading 3"/>
    <w:basedOn w:val="HeadingBase"/>
    <w:next w:val="BodyText"/>
    <w:link w:val="Heading3Char"/>
    <w:qFormat/>
    <w:rsid w:val="00897DA9"/>
    <w:pPr>
      <w:spacing w:before="180" w:after="120"/>
      <w:outlineLvl w:val="2"/>
    </w:pPr>
    <w:rPr>
      <w:spacing w:val="-10"/>
      <w:kern w:val="32"/>
    </w:rPr>
  </w:style>
  <w:style w:type="paragraph" w:styleId="Heading4">
    <w:name w:val="heading 4"/>
    <w:basedOn w:val="HeadingBase"/>
    <w:next w:val="BodyText"/>
    <w:link w:val="Heading4Char"/>
    <w:qFormat/>
    <w:rsid w:val="00897DA9"/>
    <w:pPr>
      <w:spacing w:before="160" w:after="120"/>
      <w:outlineLvl w:val="3"/>
    </w:pPr>
    <w:rPr>
      <w:sz w:val="22"/>
    </w:rPr>
  </w:style>
  <w:style w:type="paragraph" w:styleId="Heading5">
    <w:name w:val="heading 5"/>
    <w:basedOn w:val="HeadingBase"/>
    <w:next w:val="Normal"/>
    <w:link w:val="Heading5Char"/>
    <w:qFormat/>
    <w:rsid w:val="00897DA9"/>
    <w:pPr>
      <w:spacing w:before="80"/>
      <w:outlineLvl w:val="4"/>
    </w:pPr>
    <w:rPr>
      <w:color w:val="918585"/>
      <w:sz w:val="20"/>
    </w:rPr>
  </w:style>
  <w:style w:type="paragraph" w:styleId="Heading6">
    <w:name w:val="heading 6"/>
    <w:basedOn w:val="HeadingBase"/>
    <w:next w:val="Normal"/>
    <w:link w:val="Heading6Char"/>
    <w:qFormat/>
    <w:rsid w:val="00897DA9"/>
    <w:pPr>
      <w:spacing w:before="60"/>
      <w:outlineLvl w:val="5"/>
    </w:pPr>
    <w:rPr>
      <w:color w:val="918585"/>
      <w:sz w:val="20"/>
    </w:rPr>
  </w:style>
  <w:style w:type="paragraph" w:styleId="Heading7">
    <w:name w:val="heading 7"/>
    <w:basedOn w:val="Normal"/>
    <w:next w:val="Normal"/>
    <w:link w:val="Heading7Char"/>
    <w:qFormat/>
    <w:rsid w:val="00897DA9"/>
    <w:pPr>
      <w:ind w:left="720"/>
      <w:outlineLvl w:val="6"/>
    </w:pPr>
    <w:rPr>
      <w:i/>
    </w:rPr>
  </w:style>
  <w:style w:type="paragraph" w:styleId="Heading8">
    <w:name w:val="heading 8"/>
    <w:basedOn w:val="Normal"/>
    <w:next w:val="Normal"/>
    <w:link w:val="Heading8Char"/>
    <w:qFormat/>
    <w:rsid w:val="00897DA9"/>
    <w:pPr>
      <w:ind w:left="720"/>
      <w:outlineLvl w:val="7"/>
    </w:pPr>
    <w:rPr>
      <w:i/>
    </w:rPr>
  </w:style>
  <w:style w:type="paragraph" w:styleId="Heading9">
    <w:name w:val="heading 9"/>
    <w:basedOn w:val="Normal"/>
    <w:next w:val="Normal"/>
    <w:link w:val="Heading9Char"/>
    <w:qFormat/>
    <w:rsid w:val="00897DA9"/>
    <w:pPr>
      <w:ind w:left="720"/>
      <w:outlineLvl w:val="8"/>
    </w:pPr>
    <w:rPr>
      <w:i/>
    </w:rPr>
  </w:style>
  <w:style w:type="character" w:default="1" w:styleId="DefaultParagraphFont">
    <w:name w:val="Default Paragraph Font"/>
    <w:uiPriority w:val="1"/>
    <w:unhideWhenUsed/>
    <w:rsid w:val="00897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DA9"/>
  </w:style>
  <w:style w:type="character" w:customStyle="1" w:styleId="Heading1Char">
    <w:name w:val="Heading 1 Char"/>
    <w:basedOn w:val="DefaultParagraphFont"/>
    <w:link w:val="Heading1"/>
    <w:rsid w:val="00897DA9"/>
    <w:rPr>
      <w:rFonts w:ascii="Times New Roman" w:eastAsia="Times New Roman" w:hAnsi="Times New Roman" w:cs="Times New Roman"/>
      <w:b/>
      <w:sz w:val="32"/>
      <w:szCs w:val="20"/>
      <w:lang w:eastAsia="en-US"/>
    </w:rPr>
  </w:style>
  <w:style w:type="paragraph" w:styleId="BodyText">
    <w:name w:val="Body Text"/>
    <w:basedOn w:val="Normal"/>
    <w:link w:val="BodyTextChar"/>
    <w:rsid w:val="00897D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DA9"/>
    <w:rPr>
      <w:rFonts w:ascii="Times New Roman" w:eastAsia="Times New Roman" w:hAnsi="Times New Roman" w:cs="Times New Roman"/>
      <w:sz w:val="24"/>
      <w:lang w:eastAsia="en-US"/>
    </w:rPr>
  </w:style>
  <w:style w:type="paragraph" w:styleId="ListBullet">
    <w:name w:val="List Bullet"/>
    <w:basedOn w:val="List"/>
    <w:rsid w:val="00897DA9"/>
    <w:pPr>
      <w:numPr>
        <w:numId w:val="12"/>
      </w:numPr>
      <w:tabs>
        <w:tab w:val="clear" w:pos="340"/>
      </w:tabs>
      <w:spacing w:before="40" w:after="40"/>
    </w:pPr>
  </w:style>
  <w:style w:type="paragraph" w:styleId="ListBullet2">
    <w:name w:val="List Bullet 2"/>
    <w:basedOn w:val="List2"/>
    <w:rsid w:val="00897DA9"/>
    <w:pPr>
      <w:numPr>
        <w:numId w:val="13"/>
      </w:numPr>
      <w:tabs>
        <w:tab w:val="clear" w:pos="680"/>
      </w:tabs>
    </w:pPr>
  </w:style>
  <w:style w:type="paragraph" w:customStyle="1" w:styleId="SuperHeading">
    <w:name w:val="SuperHeading"/>
    <w:basedOn w:val="Normal"/>
    <w:rsid w:val="00897DA9"/>
    <w:pPr>
      <w:spacing w:before="240" w:after="120"/>
      <w:outlineLvl w:val="0"/>
    </w:pPr>
    <w:rPr>
      <w:rFonts w:ascii="Times New Roman" w:hAnsi="Times New Roman"/>
      <w:b/>
      <w:sz w:val="32"/>
    </w:rPr>
  </w:style>
  <w:style w:type="paragraph" w:customStyle="1" w:styleId="AllowPageBreak">
    <w:name w:val="AllowPageBreak"/>
    <w:rsid w:val="00897D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7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D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D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DA9"/>
    <w:rPr>
      <w:rFonts w:ascii="Courier New" w:eastAsia="Times New Roman" w:hAnsi="Courier New" w:cs="Times New Roman"/>
      <w:i/>
      <w:szCs w:val="20"/>
      <w:lang w:eastAsia="en-US"/>
    </w:rPr>
  </w:style>
  <w:style w:type="paragraph" w:customStyle="1" w:styleId="HeadingBase">
    <w:name w:val="Heading Base"/>
    <w:rsid w:val="00897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DA9"/>
    <w:pPr>
      <w:tabs>
        <w:tab w:val="right" w:leader="dot" w:pos="9072"/>
      </w:tabs>
      <w:ind w:left="567"/>
    </w:pPr>
    <w:rPr>
      <w:szCs w:val="22"/>
    </w:rPr>
  </w:style>
  <w:style w:type="paragraph" w:customStyle="1" w:styleId="TOCBase">
    <w:name w:val="TOC Base"/>
    <w:rsid w:val="00897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DA9"/>
    <w:pPr>
      <w:tabs>
        <w:tab w:val="right" w:leader="dot" w:pos="9072"/>
      </w:tabs>
      <w:spacing w:before="40" w:after="40"/>
      <w:ind w:left="284"/>
    </w:pPr>
    <w:rPr>
      <w:rFonts w:ascii="Times New Roman" w:hAnsi="Times New Roman"/>
    </w:rPr>
  </w:style>
  <w:style w:type="paragraph" w:styleId="TOC1">
    <w:name w:val="toc 1"/>
    <w:basedOn w:val="TOCBase"/>
    <w:next w:val="Normal"/>
    <w:rsid w:val="00897D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DA9"/>
    <w:rPr>
      <w:rFonts w:ascii="Times New Roman" w:eastAsia="Times New Roman" w:hAnsi="Times New Roman" w:cs="Times New Roman"/>
      <w:sz w:val="16"/>
      <w:lang w:eastAsia="en-US"/>
    </w:rPr>
  </w:style>
  <w:style w:type="paragraph" w:styleId="Title">
    <w:name w:val="Title"/>
    <w:basedOn w:val="HeadingBase"/>
    <w:link w:val="TitleChar"/>
    <w:qFormat/>
    <w:rsid w:val="00897DA9"/>
    <w:pPr>
      <w:spacing w:before="5040"/>
      <w:jc w:val="center"/>
    </w:pPr>
    <w:rPr>
      <w:sz w:val="48"/>
      <w:szCs w:val="72"/>
      <w:lang w:val="en-US"/>
    </w:rPr>
  </w:style>
  <w:style w:type="character" w:customStyle="1" w:styleId="TitleChar">
    <w:name w:val="Title Char"/>
    <w:basedOn w:val="DefaultParagraphFont"/>
    <w:link w:val="Title"/>
    <w:rsid w:val="00897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DA9"/>
    <w:pPr>
      <w:tabs>
        <w:tab w:val="left" w:pos="3600"/>
        <w:tab w:val="left" w:pos="3958"/>
      </w:tabs>
    </w:pPr>
  </w:style>
  <w:style w:type="paragraph" w:styleId="List">
    <w:name w:val="List"/>
    <w:basedOn w:val="BodyText"/>
    <w:next w:val="BodyText"/>
    <w:rsid w:val="00897DA9"/>
    <w:pPr>
      <w:tabs>
        <w:tab w:val="left" w:pos="340"/>
      </w:tabs>
      <w:spacing w:before="60" w:after="60"/>
      <w:ind w:left="340" w:hanging="340"/>
    </w:pPr>
  </w:style>
  <w:style w:type="paragraph" w:customStyle="1" w:styleId="Note">
    <w:name w:val="Note"/>
    <w:basedOn w:val="BodyText"/>
    <w:rsid w:val="00897D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7DA9"/>
    <w:rPr>
      <w:b/>
      <w:spacing w:val="0"/>
    </w:rPr>
  </w:style>
  <w:style w:type="paragraph" w:customStyle="1" w:styleId="SuperTitle">
    <w:name w:val="SuperTitle"/>
    <w:basedOn w:val="Title"/>
    <w:rsid w:val="00897DA9"/>
    <w:pPr>
      <w:framePr w:wrap="auto" w:hAnchor="text" w:y="6049"/>
    </w:pPr>
    <w:rPr>
      <w:color w:val="000000"/>
      <w:sz w:val="40"/>
    </w:rPr>
  </w:style>
  <w:style w:type="paragraph" w:customStyle="1" w:styleId="TOCTitle">
    <w:name w:val="TOCTitle"/>
    <w:basedOn w:val="Heading1"/>
    <w:rsid w:val="00897DA9"/>
    <w:pPr>
      <w:spacing w:after="240"/>
      <w:jc w:val="center"/>
      <w:outlineLvl w:val="9"/>
    </w:pPr>
    <w:rPr>
      <w:caps/>
    </w:rPr>
  </w:style>
  <w:style w:type="paragraph" w:customStyle="1" w:styleId="Version">
    <w:name w:val="Version"/>
    <w:rsid w:val="00897D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DA9"/>
    <w:pPr>
      <w:keepNext w:val="0"/>
      <w:tabs>
        <w:tab w:val="right" w:pos="4176"/>
      </w:tabs>
      <w:ind w:left="198" w:hanging="198"/>
    </w:pPr>
    <w:rPr>
      <w:rFonts w:ascii="Garamond" w:hAnsi="Garamond"/>
    </w:rPr>
  </w:style>
  <w:style w:type="paragraph" w:styleId="IndexHeading">
    <w:name w:val="index heading"/>
    <w:basedOn w:val="Normal"/>
    <w:next w:val="Index1"/>
    <w:semiHidden/>
    <w:rsid w:val="00897DA9"/>
    <w:pPr>
      <w:spacing w:before="120" w:after="120"/>
    </w:pPr>
    <w:rPr>
      <w:rFonts w:ascii="Arial" w:hAnsi="Arial"/>
      <w:b/>
      <w:color w:val="918585"/>
      <w:sz w:val="24"/>
    </w:rPr>
  </w:style>
  <w:style w:type="paragraph" w:styleId="Header">
    <w:name w:val="header"/>
    <w:basedOn w:val="Normal"/>
    <w:link w:val="HeaderChar"/>
    <w:rsid w:val="00897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DA9"/>
    <w:rPr>
      <w:rFonts w:ascii="Times New Roman" w:eastAsia="Times New Roman" w:hAnsi="Times New Roman" w:cs="Times New Roman"/>
      <w:sz w:val="16"/>
      <w:szCs w:val="20"/>
      <w:lang w:val="en-GB" w:eastAsia="en-US"/>
    </w:rPr>
  </w:style>
  <w:style w:type="paragraph" w:customStyle="1" w:styleId="Chapter">
    <w:name w:val="Chapter"/>
    <w:basedOn w:val="Normal"/>
    <w:rsid w:val="00897DA9"/>
    <w:pPr>
      <w:spacing w:before="240"/>
    </w:pPr>
    <w:rPr>
      <w:rFonts w:ascii="Times New Roman" w:hAnsi="Times New Roman"/>
      <w:smallCaps/>
      <w:spacing w:val="80"/>
      <w:sz w:val="28"/>
    </w:rPr>
  </w:style>
  <w:style w:type="paragraph" w:customStyle="1" w:styleId="InChapter">
    <w:name w:val="InChapter"/>
    <w:basedOn w:val="Heading3"/>
    <w:rsid w:val="00897DA9"/>
    <w:pPr>
      <w:spacing w:after="240"/>
      <w:outlineLvl w:val="9"/>
    </w:pPr>
    <w:rPr>
      <w:noProof/>
    </w:rPr>
  </w:style>
  <w:style w:type="paragraph" w:styleId="Index2">
    <w:name w:val="index 2"/>
    <w:basedOn w:val="Normal"/>
    <w:next w:val="Normal"/>
    <w:semiHidden/>
    <w:rsid w:val="00897DA9"/>
    <w:pPr>
      <w:tabs>
        <w:tab w:val="right" w:pos="4176"/>
      </w:tabs>
      <w:ind w:left="568" w:hanging="284"/>
    </w:pPr>
    <w:rPr>
      <w:rFonts w:ascii="Garamond" w:hAnsi="Garamond"/>
    </w:rPr>
  </w:style>
  <w:style w:type="paragraph" w:customStyle="1" w:styleId="Byline">
    <w:name w:val="Byline"/>
    <w:rsid w:val="00897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DA9"/>
    <w:pPr>
      <w:tabs>
        <w:tab w:val="clear" w:pos="3600"/>
        <w:tab w:val="clear" w:pos="3958"/>
      </w:tabs>
      <w:jc w:val="right"/>
    </w:pPr>
  </w:style>
  <w:style w:type="character" w:styleId="Emphasis">
    <w:name w:val="Emphasis"/>
    <w:basedOn w:val="DefaultParagraphFont"/>
    <w:qFormat/>
    <w:rsid w:val="00897DA9"/>
    <w:rPr>
      <w:i/>
    </w:rPr>
  </w:style>
  <w:style w:type="paragraph" w:styleId="Caption">
    <w:name w:val="caption"/>
    <w:basedOn w:val="BodyText"/>
    <w:next w:val="Normal"/>
    <w:qFormat/>
    <w:rsid w:val="00897DA9"/>
    <w:pPr>
      <w:framePr w:w="2268" w:hSpace="181" w:vSpace="181" w:wrap="around" w:vAnchor="text" w:hAnchor="page" w:x="1135" w:y="285" w:anchorLock="1"/>
    </w:pPr>
    <w:rPr>
      <w:i/>
    </w:rPr>
  </w:style>
  <w:style w:type="paragraph" w:customStyle="1" w:styleId="MiniTOCTitle">
    <w:name w:val="MiniTOCTitle"/>
    <w:basedOn w:val="Heading4"/>
    <w:rsid w:val="00897DA9"/>
    <w:pPr>
      <w:spacing w:before="240"/>
      <w:outlineLvl w:val="9"/>
    </w:pPr>
    <w:rPr>
      <w:noProof/>
      <w:sz w:val="24"/>
    </w:rPr>
  </w:style>
  <w:style w:type="paragraph" w:customStyle="1" w:styleId="MiniTOCItem">
    <w:name w:val="MiniTOCItem"/>
    <w:basedOn w:val="ListBullet"/>
    <w:rsid w:val="00897DA9"/>
    <w:pPr>
      <w:numPr>
        <w:numId w:val="0"/>
      </w:numPr>
      <w:tabs>
        <w:tab w:val="right" w:leader="dot" w:pos="6521"/>
      </w:tabs>
      <w:spacing w:before="0" w:after="0"/>
    </w:pPr>
  </w:style>
  <w:style w:type="paragraph" w:customStyle="1" w:styleId="TOFTitle">
    <w:name w:val="TOFTitle"/>
    <w:basedOn w:val="TOCTitle"/>
    <w:rsid w:val="00897DA9"/>
  </w:style>
  <w:style w:type="paragraph" w:styleId="TableofFigures">
    <w:name w:val="table of figures"/>
    <w:basedOn w:val="Normal"/>
    <w:next w:val="Normal"/>
    <w:semiHidden/>
    <w:rsid w:val="00897DA9"/>
    <w:pPr>
      <w:tabs>
        <w:tab w:val="right" w:leader="dot" w:pos="9072"/>
      </w:tabs>
      <w:ind w:left="970" w:hanging="403"/>
    </w:pPr>
    <w:rPr>
      <w:rFonts w:ascii="Times New Roman" w:hAnsi="Times New Roman"/>
      <w:b/>
    </w:rPr>
  </w:style>
  <w:style w:type="paragraph" w:styleId="ListNumber">
    <w:name w:val="List Number"/>
    <w:basedOn w:val="List"/>
    <w:rsid w:val="00897DA9"/>
    <w:pPr>
      <w:numPr>
        <w:numId w:val="15"/>
      </w:numPr>
      <w:tabs>
        <w:tab w:val="clear" w:pos="340"/>
      </w:tabs>
    </w:pPr>
  </w:style>
  <w:style w:type="character" w:customStyle="1" w:styleId="WingdingSymbols">
    <w:name w:val="Wingding Symbols"/>
    <w:rsid w:val="00897DA9"/>
    <w:rPr>
      <w:rFonts w:ascii="Wingdings" w:hAnsi="Wingdings"/>
    </w:rPr>
  </w:style>
  <w:style w:type="paragraph" w:customStyle="1" w:styleId="TableHeading">
    <w:name w:val="Table Heading"/>
    <w:basedOn w:val="HeadingBase"/>
    <w:rsid w:val="00897DA9"/>
    <w:pPr>
      <w:keepLines/>
      <w:pBdr>
        <w:bottom w:val="single" w:sz="6" w:space="1" w:color="918585"/>
      </w:pBdr>
      <w:spacing w:before="240"/>
    </w:pPr>
  </w:style>
  <w:style w:type="character" w:customStyle="1" w:styleId="HotSpot">
    <w:name w:val="HotSpot"/>
    <w:rsid w:val="00897DA9"/>
    <w:rPr>
      <w:color w:val="0033CC"/>
      <w:u w:val="none"/>
    </w:rPr>
  </w:style>
  <w:style w:type="paragraph" w:customStyle="1" w:styleId="BodyTextRight">
    <w:name w:val="Body Text Right"/>
    <w:basedOn w:val="BodyText"/>
    <w:rsid w:val="00897DA9"/>
    <w:pPr>
      <w:spacing w:before="0" w:after="0"/>
      <w:jc w:val="right"/>
    </w:pPr>
  </w:style>
  <w:style w:type="paragraph" w:styleId="Index3">
    <w:name w:val="index 3"/>
    <w:basedOn w:val="ListNumber2"/>
    <w:next w:val="Normal"/>
    <w:semiHidden/>
    <w:rsid w:val="00897DA9"/>
    <w:pPr>
      <w:numPr>
        <w:numId w:val="0"/>
      </w:numPr>
      <w:tabs>
        <w:tab w:val="right" w:leader="dot" w:pos="4176"/>
      </w:tabs>
    </w:pPr>
  </w:style>
  <w:style w:type="paragraph" w:styleId="ListNumber2">
    <w:name w:val="List Number 2"/>
    <w:basedOn w:val="List2"/>
    <w:rsid w:val="00897DA9"/>
    <w:pPr>
      <w:numPr>
        <w:numId w:val="10"/>
      </w:numPr>
      <w:tabs>
        <w:tab w:val="clear" w:pos="1060"/>
      </w:tabs>
    </w:pPr>
  </w:style>
  <w:style w:type="paragraph" w:customStyle="1" w:styleId="MarginNote">
    <w:name w:val="Margin Note"/>
    <w:basedOn w:val="BodyText"/>
    <w:rsid w:val="00897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D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DA9"/>
    <w:rPr>
      <w:sz w:val="32"/>
    </w:rPr>
  </w:style>
  <w:style w:type="paragraph" w:customStyle="1" w:styleId="HeadingProcedure">
    <w:name w:val="Heading Procedure"/>
    <w:basedOn w:val="HeadingBase"/>
    <w:next w:val="Normal"/>
    <w:rsid w:val="00897DA9"/>
    <w:pPr>
      <w:tabs>
        <w:tab w:val="left" w:pos="0"/>
      </w:tabs>
      <w:spacing w:before="120" w:after="60"/>
    </w:pPr>
    <w:rPr>
      <w:i/>
      <w:color w:val="918585"/>
      <w:sz w:val="22"/>
    </w:rPr>
  </w:style>
  <w:style w:type="paragraph" w:customStyle="1" w:styleId="TableBodyText">
    <w:name w:val="Table Body Text"/>
    <w:basedOn w:val="BodyText"/>
    <w:rsid w:val="00897DA9"/>
    <w:pPr>
      <w:spacing w:before="60" w:after="60"/>
    </w:pPr>
  </w:style>
  <w:style w:type="paragraph" w:styleId="ListContinue">
    <w:name w:val="List Continue"/>
    <w:basedOn w:val="List"/>
    <w:rsid w:val="00897DA9"/>
    <w:pPr>
      <w:ind w:firstLine="0"/>
    </w:pPr>
  </w:style>
  <w:style w:type="paragraph" w:customStyle="1" w:styleId="ListNote">
    <w:name w:val="List Note"/>
    <w:basedOn w:val="List"/>
    <w:rsid w:val="00897DA9"/>
    <w:pPr>
      <w:pBdr>
        <w:top w:val="single" w:sz="6" w:space="2" w:color="918585"/>
        <w:bottom w:val="single" w:sz="6" w:space="2" w:color="918585"/>
      </w:pBdr>
      <w:tabs>
        <w:tab w:val="left" w:pos="1021"/>
      </w:tabs>
      <w:ind w:firstLine="0"/>
    </w:pPr>
  </w:style>
  <w:style w:type="paragraph" w:customStyle="1" w:styleId="Warning">
    <w:name w:val="Warning"/>
    <w:basedOn w:val="BodyText"/>
    <w:rsid w:val="00897DA9"/>
    <w:pPr>
      <w:shd w:val="clear" w:color="auto" w:fill="D9D9D9"/>
      <w:tabs>
        <w:tab w:val="left" w:pos="992"/>
      </w:tabs>
      <w:ind w:left="119" w:right="119"/>
    </w:pPr>
    <w:rPr>
      <w:sz w:val="20"/>
    </w:rPr>
  </w:style>
  <w:style w:type="paragraph" w:customStyle="1" w:styleId="MarginIcons">
    <w:name w:val="Margin Icons"/>
    <w:basedOn w:val="BodyText"/>
    <w:rsid w:val="00897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DA9"/>
    <w:rPr>
      <w:rFonts w:ascii="Courier New" w:hAnsi="Courier New"/>
    </w:rPr>
  </w:style>
  <w:style w:type="paragraph" w:customStyle="1" w:styleId="NoteBullet">
    <w:name w:val="Note Bullet"/>
    <w:basedOn w:val="Note"/>
    <w:rsid w:val="00897DA9"/>
    <w:pPr>
      <w:tabs>
        <w:tab w:val="clear" w:pos="680"/>
      </w:tabs>
      <w:spacing w:before="60" w:after="60"/>
    </w:pPr>
  </w:style>
  <w:style w:type="paragraph" w:customStyle="1" w:styleId="SubHeading2">
    <w:name w:val="SubHeading2"/>
    <w:basedOn w:val="HeadingBase"/>
    <w:rsid w:val="00897DA9"/>
    <w:pPr>
      <w:spacing w:before="240" w:after="60"/>
    </w:pPr>
    <w:rPr>
      <w:sz w:val="20"/>
    </w:rPr>
  </w:style>
  <w:style w:type="paragraph" w:customStyle="1" w:styleId="SubHeading1">
    <w:name w:val="SubHeading1"/>
    <w:basedOn w:val="HeadingBase"/>
    <w:rsid w:val="00897DA9"/>
    <w:pPr>
      <w:spacing w:before="240" w:after="60"/>
    </w:pPr>
    <w:rPr>
      <w:color w:val="918585"/>
      <w:sz w:val="22"/>
    </w:rPr>
  </w:style>
  <w:style w:type="paragraph" w:customStyle="1" w:styleId="SideHeading">
    <w:name w:val="Side Heading"/>
    <w:basedOn w:val="HeadingBase"/>
    <w:rsid w:val="00897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DA9"/>
    <w:pPr>
      <w:tabs>
        <w:tab w:val="num" w:pos="360"/>
      </w:tabs>
    </w:pPr>
  </w:style>
  <w:style w:type="paragraph" w:styleId="PlainText">
    <w:name w:val="Plain Text"/>
    <w:basedOn w:val="Normal"/>
    <w:link w:val="PlainTextChar"/>
    <w:rsid w:val="00897DA9"/>
    <w:rPr>
      <w:sz w:val="20"/>
    </w:rPr>
  </w:style>
  <w:style w:type="character" w:customStyle="1" w:styleId="PlainTextChar">
    <w:name w:val="Plain Text Char"/>
    <w:basedOn w:val="DefaultParagraphFont"/>
    <w:link w:val="PlainText"/>
    <w:rsid w:val="00897DA9"/>
    <w:rPr>
      <w:rFonts w:ascii="Courier New" w:eastAsia="Times New Roman" w:hAnsi="Courier New" w:cs="Times New Roman"/>
      <w:sz w:val="20"/>
      <w:szCs w:val="20"/>
      <w:lang w:eastAsia="en-US"/>
    </w:rPr>
  </w:style>
  <w:style w:type="character" w:customStyle="1" w:styleId="MenuOption">
    <w:name w:val="Menu Option"/>
    <w:basedOn w:val="DefaultParagraphFont"/>
    <w:rsid w:val="00897DA9"/>
    <w:rPr>
      <w:b/>
      <w:smallCaps/>
    </w:rPr>
  </w:style>
  <w:style w:type="paragraph" w:customStyle="1" w:styleId="TableListNumber">
    <w:name w:val="Table List Number"/>
    <w:basedOn w:val="ListNumber"/>
    <w:rsid w:val="00897DA9"/>
    <w:pPr>
      <w:numPr>
        <w:numId w:val="0"/>
      </w:numPr>
    </w:pPr>
  </w:style>
  <w:style w:type="paragraph" w:styleId="TOC4">
    <w:name w:val="toc 4"/>
    <w:basedOn w:val="TOCBase"/>
    <w:next w:val="Normal"/>
    <w:semiHidden/>
    <w:rsid w:val="00897DA9"/>
    <w:pPr>
      <w:tabs>
        <w:tab w:val="right" w:leader="dot" w:pos="9071"/>
      </w:tabs>
      <w:ind w:left="1701"/>
    </w:pPr>
  </w:style>
  <w:style w:type="paragraph" w:customStyle="1" w:styleId="ListAlpha">
    <w:name w:val="List Alpha"/>
    <w:basedOn w:val="List"/>
    <w:rsid w:val="00897DA9"/>
    <w:pPr>
      <w:numPr>
        <w:numId w:val="9"/>
      </w:numPr>
    </w:pPr>
  </w:style>
  <w:style w:type="paragraph" w:customStyle="1" w:styleId="ListAlpha2">
    <w:name w:val="List Alpha 2"/>
    <w:basedOn w:val="List2"/>
    <w:rsid w:val="00897DA9"/>
    <w:pPr>
      <w:numPr>
        <w:numId w:val="8"/>
      </w:numPr>
    </w:pPr>
  </w:style>
  <w:style w:type="paragraph" w:styleId="List2">
    <w:name w:val="List 2"/>
    <w:basedOn w:val="BodyText"/>
    <w:rsid w:val="00897DA9"/>
    <w:pPr>
      <w:tabs>
        <w:tab w:val="left" w:pos="680"/>
      </w:tabs>
      <w:spacing w:before="60" w:after="60"/>
      <w:ind w:left="680" w:hanging="340"/>
    </w:pPr>
  </w:style>
  <w:style w:type="paragraph" w:styleId="List3">
    <w:name w:val="List 3"/>
    <w:basedOn w:val="BodyText"/>
    <w:rsid w:val="00897DA9"/>
    <w:pPr>
      <w:tabs>
        <w:tab w:val="left" w:pos="1021"/>
      </w:tabs>
      <w:spacing w:before="60" w:after="60"/>
      <w:ind w:left="1020" w:hanging="340"/>
    </w:pPr>
  </w:style>
  <w:style w:type="paragraph" w:styleId="List4">
    <w:name w:val="List 4"/>
    <w:basedOn w:val="BodyText"/>
    <w:rsid w:val="00897DA9"/>
    <w:pPr>
      <w:tabs>
        <w:tab w:val="left" w:pos="1361"/>
      </w:tabs>
      <w:spacing w:before="60" w:after="60"/>
      <w:ind w:left="1361" w:hanging="340"/>
    </w:pPr>
  </w:style>
  <w:style w:type="paragraph" w:styleId="List5">
    <w:name w:val="List 5"/>
    <w:basedOn w:val="BodyText"/>
    <w:rsid w:val="00897DA9"/>
    <w:pPr>
      <w:tabs>
        <w:tab w:val="left" w:pos="1701"/>
      </w:tabs>
      <w:spacing w:before="60" w:after="60"/>
      <w:ind w:left="1701" w:hanging="340"/>
    </w:pPr>
  </w:style>
  <w:style w:type="paragraph" w:styleId="ListBullet3">
    <w:name w:val="List Bullet 3"/>
    <w:basedOn w:val="List3"/>
    <w:rsid w:val="00897DA9"/>
    <w:pPr>
      <w:numPr>
        <w:numId w:val="14"/>
      </w:numPr>
      <w:tabs>
        <w:tab w:val="clear" w:pos="1021"/>
      </w:tabs>
      <w:ind w:left="1037" w:hanging="357"/>
    </w:pPr>
  </w:style>
  <w:style w:type="paragraph" w:styleId="ListBullet4">
    <w:name w:val="List Bullet 4"/>
    <w:basedOn w:val="List4"/>
    <w:rsid w:val="00897DA9"/>
    <w:pPr>
      <w:numPr>
        <w:numId w:val="3"/>
      </w:numPr>
      <w:tabs>
        <w:tab w:val="clear" w:pos="1361"/>
      </w:tabs>
    </w:pPr>
  </w:style>
  <w:style w:type="paragraph" w:styleId="ListBullet5">
    <w:name w:val="List Bullet 5"/>
    <w:basedOn w:val="List5"/>
    <w:rsid w:val="00897DA9"/>
    <w:pPr>
      <w:numPr>
        <w:numId w:val="4"/>
      </w:numPr>
    </w:pPr>
  </w:style>
  <w:style w:type="paragraph" w:styleId="ListContinue2">
    <w:name w:val="List Continue 2"/>
    <w:basedOn w:val="List2"/>
    <w:rsid w:val="00897DA9"/>
    <w:pPr>
      <w:ind w:firstLine="0"/>
    </w:pPr>
  </w:style>
  <w:style w:type="paragraph" w:styleId="ListContinue3">
    <w:name w:val="List Continue 3"/>
    <w:basedOn w:val="List3"/>
    <w:rsid w:val="00897DA9"/>
    <w:pPr>
      <w:ind w:left="1021" w:firstLine="0"/>
    </w:pPr>
  </w:style>
  <w:style w:type="paragraph" w:styleId="ListContinue4">
    <w:name w:val="List Continue 4"/>
    <w:basedOn w:val="List4"/>
    <w:rsid w:val="00897DA9"/>
    <w:pPr>
      <w:ind w:firstLine="0"/>
    </w:pPr>
  </w:style>
  <w:style w:type="paragraph" w:styleId="ListContinue5">
    <w:name w:val="List Continue 5"/>
    <w:basedOn w:val="List5"/>
    <w:rsid w:val="00897DA9"/>
    <w:pPr>
      <w:ind w:firstLine="0"/>
    </w:pPr>
  </w:style>
  <w:style w:type="paragraph" w:styleId="ListNumber3">
    <w:name w:val="List Number 3"/>
    <w:basedOn w:val="List3"/>
    <w:rsid w:val="00897DA9"/>
    <w:pPr>
      <w:numPr>
        <w:numId w:val="5"/>
      </w:numPr>
    </w:pPr>
  </w:style>
  <w:style w:type="paragraph" w:styleId="ListNumber4">
    <w:name w:val="List Number 4"/>
    <w:basedOn w:val="List4"/>
    <w:rsid w:val="00897DA9"/>
    <w:pPr>
      <w:numPr>
        <w:numId w:val="6"/>
      </w:numPr>
    </w:pPr>
  </w:style>
  <w:style w:type="paragraph" w:styleId="ListNumber5">
    <w:name w:val="List Number 5"/>
    <w:basedOn w:val="List5"/>
    <w:rsid w:val="00897DA9"/>
    <w:pPr>
      <w:numPr>
        <w:numId w:val="7"/>
      </w:numPr>
    </w:pPr>
  </w:style>
  <w:style w:type="paragraph" w:styleId="BlockText">
    <w:name w:val="Block Text"/>
    <w:basedOn w:val="Normal"/>
    <w:rsid w:val="00897DA9"/>
    <w:pPr>
      <w:spacing w:after="120"/>
      <w:ind w:left="1440" w:right="1440"/>
    </w:pPr>
  </w:style>
  <w:style w:type="character" w:customStyle="1" w:styleId="Subscript">
    <w:name w:val="Subscript"/>
    <w:basedOn w:val="DefaultParagraphFont"/>
    <w:rsid w:val="00897DA9"/>
    <w:rPr>
      <w:sz w:val="16"/>
      <w:vertAlign w:val="subscript"/>
    </w:rPr>
  </w:style>
  <w:style w:type="character" w:customStyle="1" w:styleId="Superscript">
    <w:name w:val="Superscript"/>
    <w:basedOn w:val="DefaultParagraphFont"/>
    <w:rsid w:val="00897DA9"/>
    <w:rPr>
      <w:sz w:val="16"/>
      <w:vertAlign w:val="superscript"/>
    </w:rPr>
  </w:style>
  <w:style w:type="character" w:customStyle="1" w:styleId="Symbols">
    <w:name w:val="Symbols"/>
    <w:basedOn w:val="DefaultParagraphFont"/>
    <w:rsid w:val="00897DA9"/>
    <w:rPr>
      <w:rFonts w:ascii="Symbol" w:hAnsi="Symbol"/>
    </w:rPr>
  </w:style>
  <w:style w:type="character" w:customStyle="1" w:styleId="MenuOptions">
    <w:name w:val="Menu Options"/>
    <w:basedOn w:val="DefaultParagraphFont"/>
    <w:rsid w:val="00897DA9"/>
    <w:rPr>
      <w:rFonts w:ascii="Arial Narrow" w:hAnsi="Arial Narrow"/>
      <w:smallCaps/>
    </w:rPr>
  </w:style>
  <w:style w:type="character" w:customStyle="1" w:styleId="Buttons">
    <w:name w:val="Buttons"/>
    <w:basedOn w:val="DefaultParagraphFont"/>
    <w:rsid w:val="00897DA9"/>
    <w:rPr>
      <w:b/>
    </w:rPr>
  </w:style>
  <w:style w:type="character" w:customStyle="1" w:styleId="Underlined">
    <w:name w:val="Underlined"/>
    <w:basedOn w:val="DefaultParagraphFont"/>
    <w:rsid w:val="00897DA9"/>
    <w:rPr>
      <w:u w:val="single"/>
    </w:rPr>
  </w:style>
  <w:style w:type="paragraph" w:customStyle="1" w:styleId="TableBodyTextRight">
    <w:name w:val="Table Body Text Right"/>
    <w:basedOn w:val="TableBodyText"/>
    <w:rsid w:val="00897DA9"/>
    <w:pPr>
      <w:widowControl w:val="0"/>
      <w:autoSpaceDE w:val="0"/>
      <w:autoSpaceDN w:val="0"/>
      <w:adjustRightInd w:val="0"/>
      <w:jc w:val="right"/>
    </w:pPr>
    <w:rPr>
      <w:rFonts w:cs="Arial"/>
      <w:szCs w:val="18"/>
    </w:rPr>
  </w:style>
  <w:style w:type="paragraph" w:customStyle="1" w:styleId="CopyrightText">
    <w:name w:val="Copyright Text"/>
    <w:basedOn w:val="BodyText"/>
    <w:rsid w:val="00897DA9"/>
    <w:rPr>
      <w:sz w:val="18"/>
    </w:rPr>
  </w:style>
  <w:style w:type="paragraph" w:customStyle="1" w:styleId="BodySmallRight">
    <w:name w:val="Body Small Right"/>
    <w:basedOn w:val="BodyTextRight"/>
    <w:rsid w:val="00897DA9"/>
    <w:rPr>
      <w:sz w:val="18"/>
      <w:szCs w:val="18"/>
    </w:rPr>
  </w:style>
  <w:style w:type="paragraph" w:customStyle="1" w:styleId="MarginEdition">
    <w:name w:val="Margin Edition"/>
    <w:basedOn w:val="MarginNote"/>
    <w:rsid w:val="00897DA9"/>
    <w:pPr>
      <w:spacing w:before="0" w:after="0"/>
    </w:pPr>
    <w:rPr>
      <w:rFonts w:ascii="Times New Roman" w:hAnsi="Times New Roman"/>
      <w:color w:val="999999"/>
    </w:rPr>
  </w:style>
  <w:style w:type="paragraph" w:customStyle="1" w:styleId="Spacer">
    <w:name w:val="Spacer"/>
    <w:basedOn w:val="Normal"/>
    <w:rsid w:val="00897DA9"/>
    <w:rPr>
      <w:sz w:val="2"/>
      <w:szCs w:val="2"/>
    </w:rPr>
  </w:style>
  <w:style w:type="character" w:customStyle="1" w:styleId="Small">
    <w:name w:val="Small"/>
    <w:basedOn w:val="DefaultParagraphFont"/>
    <w:rsid w:val="00897DA9"/>
    <w:rPr>
      <w:sz w:val="16"/>
    </w:rPr>
  </w:style>
  <w:style w:type="paragraph" w:customStyle="1" w:styleId="WideTable">
    <w:name w:val="Wide Table"/>
    <w:basedOn w:val="Normal"/>
    <w:rsid w:val="00897DA9"/>
    <w:pPr>
      <w:ind w:left="-1418"/>
    </w:pPr>
    <w:rPr>
      <w:sz w:val="2"/>
      <w:szCs w:val="2"/>
    </w:rPr>
  </w:style>
  <w:style w:type="character" w:styleId="PageNumber">
    <w:name w:val="page number"/>
    <w:basedOn w:val="DefaultParagraphFont"/>
    <w:rsid w:val="00897DA9"/>
  </w:style>
  <w:style w:type="paragraph" w:styleId="Quote">
    <w:name w:val="Quote"/>
    <w:basedOn w:val="Heading1"/>
    <w:link w:val="QuoteChar"/>
    <w:qFormat/>
    <w:rsid w:val="00897DA9"/>
    <w:rPr>
      <w:b w:val="0"/>
      <w:sz w:val="72"/>
      <w:szCs w:val="72"/>
      <w:lang w:val="en-NZ"/>
    </w:rPr>
  </w:style>
  <w:style w:type="character" w:customStyle="1" w:styleId="QuoteChar">
    <w:name w:val="Quote Char"/>
    <w:basedOn w:val="DefaultParagraphFont"/>
    <w:link w:val="Quote"/>
    <w:rsid w:val="00897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DA9"/>
    <w:pPr>
      <w:pageBreakBefore/>
    </w:pPr>
  </w:style>
  <w:style w:type="paragraph" w:customStyle="1" w:styleId="Border">
    <w:name w:val="Border"/>
    <w:basedOn w:val="Normal"/>
    <w:qFormat/>
    <w:rsid w:val="00897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DA9"/>
    <w:rPr>
      <w:b/>
      <w:bCs/>
      <w:i/>
      <w:iCs/>
      <w:color w:val="auto"/>
    </w:rPr>
  </w:style>
  <w:style w:type="paragraph" w:styleId="IntenseQuote">
    <w:name w:val="Intense Quote"/>
    <w:basedOn w:val="Normal"/>
    <w:next w:val="Normal"/>
    <w:link w:val="IntenseQuoteChar"/>
    <w:uiPriority w:val="30"/>
    <w:qFormat/>
    <w:rsid w:val="00897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D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DA9"/>
    <w:rPr>
      <w:smallCaps/>
      <w:color w:val="auto"/>
      <w:u w:val="single"/>
    </w:rPr>
  </w:style>
  <w:style w:type="character" w:styleId="IntenseReference">
    <w:name w:val="Intense Reference"/>
    <w:basedOn w:val="DefaultParagraphFont"/>
    <w:uiPriority w:val="32"/>
    <w:qFormat/>
    <w:rsid w:val="00897DA9"/>
    <w:rPr>
      <w:b/>
      <w:bCs/>
      <w:smallCaps/>
      <w:color w:val="auto"/>
      <w:spacing w:val="5"/>
      <w:u w:val="single"/>
    </w:rPr>
  </w:style>
  <w:style w:type="paragraph" w:customStyle="1" w:styleId="2ColumnHeading">
    <w:name w:val="2Column Heading"/>
    <w:basedOn w:val="BodyText"/>
    <w:qFormat/>
    <w:rsid w:val="00897DA9"/>
    <w:pPr>
      <w:spacing w:after="60"/>
      <w:ind w:left="-2268"/>
    </w:pPr>
    <w:rPr>
      <w:b/>
    </w:rPr>
  </w:style>
  <w:style w:type="paragraph" w:customStyle="1" w:styleId="Heading1TOC">
    <w:name w:val="Heading1 TOC"/>
    <w:basedOn w:val="Normal"/>
    <w:qFormat/>
    <w:rsid w:val="00897DA9"/>
    <w:pPr>
      <w:spacing w:before="240" w:after="120"/>
    </w:pPr>
    <w:rPr>
      <w:rFonts w:ascii="Times New Roman" w:hAnsi="Times New Roman"/>
      <w:b/>
      <w:sz w:val="32"/>
    </w:rPr>
  </w:style>
  <w:style w:type="paragraph" w:customStyle="1" w:styleId="Heading2TOC">
    <w:name w:val="Heading2 TOC"/>
    <w:basedOn w:val="Normal"/>
    <w:qFormat/>
    <w:rsid w:val="00897DA9"/>
    <w:pPr>
      <w:spacing w:before="240" w:after="60"/>
    </w:pPr>
    <w:rPr>
      <w:rFonts w:ascii="Times New Roman" w:hAnsi="Times New Roman"/>
      <w:b/>
      <w:sz w:val="28"/>
    </w:rPr>
  </w:style>
  <w:style w:type="character" w:customStyle="1" w:styleId="Underline">
    <w:name w:val="Underline"/>
    <w:basedOn w:val="DefaultParagraphFont"/>
    <w:qFormat/>
    <w:rsid w:val="00897DA9"/>
    <w:rPr>
      <w:u w:val="single"/>
    </w:rPr>
  </w:style>
  <w:style w:type="character" w:customStyle="1" w:styleId="BoldandItalics">
    <w:name w:val="Bold and Italics"/>
    <w:qFormat/>
    <w:rsid w:val="00897DA9"/>
    <w:rPr>
      <w:b/>
      <w:i/>
      <w:u w:val="none"/>
    </w:rPr>
  </w:style>
  <w:style w:type="paragraph" w:styleId="BalloonText">
    <w:name w:val="Balloon Text"/>
    <w:basedOn w:val="Normal"/>
    <w:link w:val="BalloonTextChar"/>
    <w:rsid w:val="00897DA9"/>
    <w:rPr>
      <w:rFonts w:ascii="Tahoma" w:hAnsi="Tahoma" w:cs="Tahoma"/>
      <w:sz w:val="16"/>
      <w:szCs w:val="16"/>
    </w:rPr>
  </w:style>
  <w:style w:type="character" w:customStyle="1" w:styleId="BalloonTextChar">
    <w:name w:val="Balloon Text Char"/>
    <w:basedOn w:val="DefaultParagraphFont"/>
    <w:link w:val="BalloonText"/>
    <w:rsid w:val="00897D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D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D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DA9"/>
    <w:rPr>
      <w:b/>
      <w:color w:val="660033"/>
      <w:spacing w:val="0"/>
    </w:rPr>
  </w:style>
  <w:style w:type="paragraph" w:customStyle="1" w:styleId="Nameditemlist">
    <w:name w:val="Named item list"/>
    <w:basedOn w:val="BodyText"/>
    <w:qFormat/>
    <w:rsid w:val="00897DA9"/>
    <w:pPr>
      <w:tabs>
        <w:tab w:val="left" w:pos="2835"/>
      </w:tabs>
      <w:ind w:left="2835" w:hanging="2835"/>
    </w:pPr>
  </w:style>
  <w:style w:type="paragraph" w:customStyle="1" w:styleId="BodyTextnopadding">
    <w:name w:val="Body Text no padding"/>
    <w:basedOn w:val="BodyText"/>
    <w:qFormat/>
    <w:rsid w:val="00897DA9"/>
    <w:pPr>
      <w:spacing w:before="0" w:after="0"/>
    </w:pPr>
  </w:style>
  <w:style w:type="paragraph" w:customStyle="1" w:styleId="BodyTextBold">
    <w:name w:val="Body Text Bold"/>
    <w:basedOn w:val="BodyText"/>
    <w:qFormat/>
    <w:rsid w:val="00897DA9"/>
    <w:rPr>
      <w:b/>
    </w:rPr>
  </w:style>
  <w:style w:type="character" w:styleId="Hyperlink">
    <w:name w:val="Hyperlink"/>
    <w:basedOn w:val="DefaultParagraphFont"/>
    <w:uiPriority w:val="99"/>
    <w:unhideWhenUsed/>
    <w:rsid w:val="00E049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1359</Words>
  <Characters>9167</Characters>
  <Application>Microsoft Office Word</Application>
  <DocSecurity>0</DocSecurity>
  <Lines>183</Lines>
  <Paragraphs>115</Paragraphs>
  <ScaleCrop>false</ScaleCrop>
  <Company>Author-it Software Corporation Ltd.</Company>
  <LinksUpToDate>false</LinksUpToDate>
  <CharactersWithSpaces>10411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UETTDRSB39 Perform power system substation switching operation to a given schedule</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2022-07-19T03:55:00Z</dcterms:created>
  <dcterms:modified xsi:type="dcterms:W3CDTF">2022-07-19T03:55:00Z</dcterms:modified>
</cp:coreProperties>
</file>