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E3C" w:rsidP="00A95E3C">
      <w:pPr>
        <w:pStyle w:val="Title"/>
      </w:pPr>
      <w:r>
        <w:fldChar w:fldCharType="begin"/>
      </w:r>
      <w:r>
        <w:instrText xml:space="preserve"> TITLE   \* MERGEFORMAT </w:instrText>
      </w:r>
      <w:r>
        <w:fldChar w:fldCharType="separate"/>
      </w:r>
      <w:r>
        <w:t>UETTDRSB36 Commission discrete control and protection systems</w:t>
      </w:r>
      <w:r>
        <w:fldChar w:fldCharType="end"/>
      </w:r>
    </w:p>
    <w:p w:rsidR="00A95E3C" w:rsidP="00A95E3C">
      <w:pPr>
        <w:pStyle w:val="Version"/>
        <w:sectPr w:rsidSect="004D1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F87" w:rsidP="004D1F87">
      <w:pPr>
        <w:pStyle w:val="SuperHeading"/>
      </w:pPr>
      <w:r w:rsidRPr="004D1F87">
        <w:t>UETTDRSB36 Commission discrete control and protection systems</w:t>
      </w:r>
    </w:p>
    <w:p w:rsidR="00000000" w:rsidRPr="004D1F87" w:rsidP="004D1F87">
      <w:pPr>
        <w:pStyle w:val="Heading1"/>
      </w:pPr>
      <w:bookmarkStart w:id="1" w:name="O_1004701"/>
      <w:bookmarkEnd w:id="1"/>
      <w:r w:rsidRPr="004D1F87">
        <w:t>Modification History</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Release 1. This is the first release of this unit of competency in the UET Transmission, Distribution and Rail Sector Training Package.</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2" w:name="O_1004702"/>
      <w:bookmarkEnd w:id="2"/>
      <w:r w:rsidRPr="004D1F87">
        <w:t>Application</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This unit covers the commissioning/testing of discrete protection and control systems and includes isolation, inspection, monitoring, testing, adjustment and functional checks on systems, such as overcurrent, overloads, earth fault, alarms and controls.</w:t>
            </w:r>
          </w:p>
          <w:p w:rsidR="00000000" w:rsidRPr="004D1F87" w:rsidP="004D1F87">
            <w:pPr>
              <w:pStyle w:val="BodyText"/>
            </w:pPr>
            <w:r w:rsidRPr="004D1F87">
              <w:t>Th</w:t>
            </w:r>
            <w:r w:rsidRPr="004D1F87">
              <w:t xml:space="preserve">e application of the skills and knowledge described in this unit requires a licence/registration to practice in the workplace subject to regulations for undertaking of electrical work.  </w:t>
            </w:r>
          </w:p>
          <w:p w:rsidR="00000000" w:rsidRPr="004D1F87" w:rsidP="004D1F87">
            <w:pPr>
              <w:pStyle w:val="BodyText"/>
            </w:pPr>
            <w:r w:rsidRPr="004D1F87">
              <w:t xml:space="preserve">Other conditions may apply under state and territory legislative and </w:t>
            </w:r>
            <w:r w:rsidRPr="004D1F87">
              <w:t>regulatory licencing requirements which must be confirmed prior to commencing this unit.</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3" w:name="O_1004703"/>
      <w:bookmarkEnd w:id="3"/>
      <w:r w:rsidRPr="004D1F87">
        <w:t>Pre-requisite Unit</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 xml:space="preserve">All competencies in the Common Unit Group must have been completed, plus all competencies in one (1) of the identified Pathway </w:t>
            </w:r>
            <w:r w:rsidRPr="004D1F87">
              <w:t xml:space="preserve">Unit Group(s). </w:t>
            </w:r>
          </w:p>
          <w:p w:rsidR="00000000" w:rsidRPr="004D1F87" w:rsidP="004D1F87">
            <w:pPr>
              <w:pStyle w:val="BodyText"/>
            </w:pPr>
            <w:r w:rsidRPr="004D1F87">
              <w:t>Common Unit Group</w:t>
            </w:r>
          </w:p>
          <w:p w:rsidR="00000000" w:rsidRPr="004D1F87" w:rsidP="004D1F87">
            <w:pPr>
              <w:pStyle w:val="BodyText"/>
            </w:pPr>
            <w:r w:rsidRPr="004D1F87">
              <w:t>UEENEEE101A Apply Occupational Health and Safety regulations, codes and practices in the workplace</w:t>
            </w:r>
          </w:p>
          <w:p w:rsidR="00000000" w:rsidRPr="004D1F87" w:rsidP="004D1F87">
            <w:pPr>
              <w:pStyle w:val="BodyText"/>
            </w:pPr>
            <w:r w:rsidRPr="004D1F87">
              <w:t>UEENEEE102A Fabricate, assemble and dismantle utilities industry components</w:t>
            </w:r>
          </w:p>
          <w:p w:rsidR="00000000" w:rsidRPr="004D1F87" w:rsidP="004D1F87">
            <w:pPr>
              <w:pStyle w:val="BodyText"/>
            </w:pPr>
            <w:r w:rsidRPr="004D1F87">
              <w:t>UEENEEE104A Solve problems in d.c. circuits</w:t>
            </w:r>
          </w:p>
          <w:p w:rsidR="00000000" w:rsidRPr="004D1F87" w:rsidP="004D1F87">
            <w:pPr>
              <w:pStyle w:val="BodyText"/>
            </w:pPr>
            <w:r w:rsidRPr="004D1F87">
              <w:t>UEE</w:t>
            </w:r>
            <w:r w:rsidRPr="004D1F87">
              <w:t>NEEE105A Fix and secure electrotechnology equipment</w:t>
            </w:r>
          </w:p>
          <w:p w:rsidR="00000000" w:rsidRPr="004D1F87" w:rsidP="004D1F87">
            <w:pPr>
              <w:pStyle w:val="BodyText"/>
            </w:pPr>
            <w:r w:rsidRPr="004D1F87">
              <w:t>UEENEEE107A Use drawings, diagrams, schedules, standards, codes and specifications</w:t>
            </w:r>
          </w:p>
          <w:p w:rsidR="00000000" w:rsidRPr="004D1F87" w:rsidP="004D1F87">
            <w:pPr>
              <w:pStyle w:val="BodyText"/>
            </w:pPr>
            <w:r w:rsidRPr="004D1F87">
              <w:t>UEENEEE137A Document and apply measures to control OHS risks associated with electrotechnology work</w:t>
            </w:r>
          </w:p>
          <w:p w:rsidR="00000000" w:rsidRPr="004D1F87" w:rsidP="004D1F87">
            <w:pPr>
              <w:pStyle w:val="BodyText"/>
            </w:pPr>
            <w:r w:rsidRPr="004D1F87">
              <w:t>UEENEEG006A Solve problems in single and three phase low voltage machines</w:t>
            </w:r>
          </w:p>
          <w:p w:rsidR="00000000" w:rsidRPr="004D1F87" w:rsidP="004D1F87">
            <w:pPr>
              <w:pStyle w:val="BodyText"/>
            </w:pPr>
            <w:r w:rsidRPr="004D1F87">
              <w:t>UEENEEG033A Solve problems in single and three phase low voltage electrical apparatus and circuits</w:t>
            </w:r>
          </w:p>
          <w:p w:rsidR="00000000" w:rsidRPr="004D1F87" w:rsidP="004D1F87">
            <w:pPr>
              <w:pStyle w:val="BodyText"/>
            </w:pPr>
            <w:r w:rsidRPr="004D1F87">
              <w:t>UEENEEG063A Arrange circuits, control and protection for general electrical install</w:t>
            </w:r>
            <w:r w:rsidRPr="004D1F87">
              <w:t>ations</w:t>
            </w:r>
          </w:p>
          <w:p w:rsidR="00000000" w:rsidRPr="004D1F87" w:rsidP="004D1F87">
            <w:pPr>
              <w:pStyle w:val="BodyText"/>
            </w:pPr>
            <w:r w:rsidRPr="004D1F87">
              <w:t>UEENEEG101A Solve problems in electromagnetic devices and related circuits</w:t>
            </w:r>
          </w:p>
          <w:p w:rsidR="00000000" w:rsidRPr="004D1F87" w:rsidP="004D1F87">
            <w:pPr>
              <w:pStyle w:val="BodyText"/>
            </w:pPr>
            <w:r w:rsidRPr="004D1F87">
              <w:t>UEENEEG102A Solve problems in low voltage a.c. circuits</w:t>
            </w:r>
          </w:p>
          <w:p w:rsidR="00000000" w:rsidRPr="004D1F87" w:rsidP="004D1F87">
            <w:pPr>
              <w:pStyle w:val="BodyText"/>
            </w:pPr>
            <w:r w:rsidRPr="004D1F87">
              <w:t>UEENEEG106A Terminate cables, cords and accessories for low voltage circuits</w:t>
            </w:r>
          </w:p>
          <w:p w:rsidR="00000000" w:rsidRPr="004D1F87" w:rsidP="004D1F87">
            <w:pPr>
              <w:pStyle w:val="BodyText"/>
            </w:pPr>
            <w:r w:rsidRPr="004D1F87">
              <w:t>UEENEEG108A Trouble-shoot and repair faul</w:t>
            </w:r>
            <w:r w:rsidRPr="004D1F87">
              <w:t>ts in low voltage electrical apparatus and circuits</w:t>
            </w:r>
          </w:p>
          <w:p w:rsidR="00000000" w:rsidRPr="004D1F87" w:rsidP="004D1F87">
            <w:pPr>
              <w:pStyle w:val="BodyText"/>
            </w:pPr>
            <w:r w:rsidRPr="004D1F87">
              <w:t>UEENEEG109A Develop and connect electrical control circuits</w:t>
            </w:r>
          </w:p>
          <w:p w:rsidR="00000000" w:rsidRPr="004D1F87" w:rsidP="004D1F87">
            <w:pPr>
              <w:pStyle w:val="BodyText"/>
            </w:pPr>
            <w:r w:rsidRPr="004D1F87">
              <w:t>UEENEEK142A Apply environmentally and sustainable procedures in the energy sector</w:t>
            </w:r>
          </w:p>
          <w:p w:rsidR="00000000" w:rsidRPr="004D1F87" w:rsidP="004D1F87">
            <w:pPr>
              <w:pStyle w:val="BodyText"/>
            </w:pPr>
            <w:r w:rsidRPr="004D1F87">
              <w:t>UETTDRSB25 Maintain high voltage power and instrument transfor</w:t>
            </w:r>
            <w:r w:rsidRPr="004D1F87">
              <w:t>mers</w:t>
            </w:r>
          </w:p>
          <w:p w:rsidR="00000000" w:rsidRPr="004D1F87" w:rsidP="004D1F87">
            <w:pPr>
              <w:pStyle w:val="BodyText"/>
            </w:pPr>
            <w:r w:rsidRPr="004D1F87">
              <w:t>UETTDRSB29 Maintain capacitor bank equipment for voltage regulation</w:t>
            </w:r>
          </w:p>
          <w:p w:rsidR="00000000" w:rsidRPr="004D1F87" w:rsidP="004D1F87">
            <w:pPr>
              <w:pStyle w:val="BodyText"/>
            </w:pPr>
            <w:r w:rsidRPr="004D1F87">
              <w:t>Pathway 1 - Electrician</w:t>
            </w:r>
          </w:p>
          <w:p w:rsidR="00000000" w:rsidRPr="004D1F87" w:rsidP="004D1F87">
            <w:pPr>
              <w:pStyle w:val="BodyText"/>
            </w:pPr>
            <w:r w:rsidRPr="004D1F87">
              <w:t>UEENEEG103A Install low voltage wiring and accessories</w:t>
            </w:r>
          </w:p>
          <w:p w:rsidR="00000000" w:rsidRPr="004D1F87" w:rsidP="004D1F87">
            <w:pPr>
              <w:pStyle w:val="BodyText"/>
            </w:pPr>
            <w:r w:rsidRPr="004D1F87">
              <w:t>UEENEEG104A Install appliances, switchgear and associated accessories for low voltage electrical install</w:t>
            </w:r>
            <w:r w:rsidRPr="004D1F87">
              <w:t>ations</w:t>
            </w:r>
          </w:p>
          <w:p w:rsidR="00000000" w:rsidRPr="004D1F87" w:rsidP="004D1F87">
            <w:pPr>
              <w:pStyle w:val="BodyText"/>
            </w:pPr>
            <w:r w:rsidRPr="004D1F87">
              <w:t>UEENEEG105A Verify compliance and functionality of low voltage general electrical installations</w:t>
            </w:r>
          </w:p>
          <w:p w:rsidR="00000000" w:rsidRPr="004D1F87" w:rsidP="004D1F87">
            <w:pPr>
              <w:pStyle w:val="BodyText"/>
            </w:pPr>
            <w:r w:rsidRPr="004D1F87">
              <w:t>UEENEEG107A Select wiring systems and cables for low voltage general electrical installations</w:t>
            </w:r>
          </w:p>
          <w:p w:rsidR="00000000" w:rsidRPr="004D1F87" w:rsidP="004D1F87">
            <w:pPr>
              <w:pStyle w:val="BodyText"/>
            </w:pPr>
            <w:r w:rsidRPr="004D1F87">
              <w:t>Pathway 2 - Electrical Fitter</w:t>
            </w:r>
          </w:p>
          <w:p w:rsidR="00000000" w:rsidRPr="004D1F87" w:rsidP="004D1F87">
            <w:pPr>
              <w:pStyle w:val="BodyText"/>
            </w:pPr>
            <w:r w:rsidRPr="004D1F87">
              <w:t>UEENEEG199A Conduct complianc</w:t>
            </w:r>
            <w:r w:rsidRPr="004D1F87">
              <w:t>e and functional verification of electrical apparatus and existing circuits</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4" w:name="O_1004704"/>
      <w:bookmarkEnd w:id="4"/>
      <w:r w:rsidRPr="004D1F87">
        <w:t>Competency Field</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Substation</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5" w:name="O_1004705"/>
      <w:bookmarkEnd w:id="5"/>
      <w:r w:rsidRPr="004D1F87">
        <w:t>Unit Sector</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Not applicable.</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6" w:name="O_1004706"/>
      <w:bookmarkEnd w:id="6"/>
      <w:r w:rsidRPr="004D1F8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D1F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PERFORMANCE CRITERIA</w:t>
            </w:r>
          </w:p>
        </w:tc>
      </w:tr>
      <w:tr w:rsidTr="004D1F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Performance criteria describe the performance needed to demonstrate achievement of the element.</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Plan for the commissioning/testing of discrete protection and control systems</w:t>
            </w: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Work schedules, including drawings, plans, requirements procedures and material lists, are acquired, analysed and the extent of work determined</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Relevant requirements and established procedures for the work are communicated to all personnel and ident</w:t>
            </w:r>
            <w:r w:rsidRPr="004D1F87">
              <w:t>ified for all worksites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 xml:space="preserve">Hazards are identified, work health and safety </w:t>
            </w:r>
            <w:r w:rsidRPr="004D1F87">
              <w:t xml:space="preserve">(WHS)/occupational health and safety (OHS) risks assessed and control measures prioritised, implemented and </w:t>
            </w:r>
            <w:r w:rsidRPr="004D1F87">
              <w:t>monitored, including emergency exits kept clear, to ensure safe systems of work are followed and according to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Work is prioritised and sequenced for the most efficient and effective outcome following consultation with others fo</w:t>
            </w:r>
            <w:r w:rsidRPr="004D1F87">
              <w:t>r completion within acceptable timeframes, to agreed quality standards and in accordance with established policies and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Risk control measures are identified, prioritised, implemented and evaluated against the work schedule</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Resources</w:t>
            </w:r>
            <w:r w:rsidRPr="004D1F87">
              <w:t>, including personnel, equipment, tools and personal protective equipment (PPE), required for the job are identified, acquired and confirmed safe and in technical working order</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Liaison issues with other personnel and/or authorities are resolved and activities coordinated to facilitate the work</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Personnel participating in the work, including plant operators and contractors, are fully briefed, their respective responsibilitie</w:t>
            </w:r>
            <w:r w:rsidRPr="004D1F87">
              <w:t>s explained and coordinated, and appropriate authorisation checked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Worksite is prepared according to the work schedule and to minimise risk and damage to property and personnel in accordance with established</w:t>
            </w:r>
            <w:r w:rsidRPr="004D1F87">
              <w:t xml:space="preserve">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Carry out the commissioning/testing of discrete protection and control systems</w:t>
            </w: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WHS/OHS and sustainable energy principles and practices to reduce the incidence of accidents and minimise waste are implemented and monitored in accordance wi</w:t>
            </w:r>
            <w:r w:rsidRPr="004D1F87">
              <w:t>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Cardiopulmonary resuscitation (CPR), rescue from live electrical apparatus and other related safety procedures are in place according to requirements and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Safe working documentation is acquired and requirements completed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Lifting, use of power tools/equipment techniques and practices are safely exercised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Hazard w</w:t>
            </w:r>
            <w:r w:rsidRPr="004D1F87">
              <w:t>arnings and safety signs are recognised and hazards and assessed WHS/OHS risks are reported to immediate authorised personnel for directions according to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Commissioning/testing of discrete protection and control systems is unde</w:t>
            </w:r>
            <w:r w:rsidRPr="004D1F87">
              <w:t>rtaken according to requirements and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Data is analysed and compared with compliance specifications to ensure commissioning/testing of the discrete system is completed within an agreed timeframe and according to requirements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Essential knowledge and associated skills are applied for the safe commissioning/testing of discrete protection and control systems to ensure completion in an agreed timeframe and to quality standards with a minimum of waste according to requirements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Unplanned events or conditions are responded to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rPr>
                <w:rStyle w:val="SpecialBold"/>
              </w:rPr>
              <w:t>Complete the commissioning/testing of discrete protection and control systems</w:t>
            </w: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Final inspections and functional testing of the discrete protection and con</w:t>
            </w:r>
            <w:r w:rsidRPr="004D1F87">
              <w:t>trol systems are completed and checked to ensure compliance with all requirements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Anomalies between requirements and measured performance are reported and solutions identified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Safe working documentation is surrendered and discrete protection and control systems are made ready for service</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Worksite is rehabilitated, cleaned up and confirmed safe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Tools, equipment and any surpl</w:t>
            </w:r>
            <w:r w:rsidRPr="004D1F87">
              <w:t>us resources and materials are cleaned, checked and returned to storage in accordance with established procedures</w:t>
            </w:r>
          </w:p>
        </w:tc>
      </w:tr>
      <w:tr w:rsidTr="004D1F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D1F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Required work completion records, reports and/or documentation and information are completed, processed and appropriate personnel notif</w:t>
            </w:r>
            <w:r w:rsidRPr="004D1F87">
              <w:t>ied in accordance with established procedures</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7" w:name="O_1004707"/>
      <w:bookmarkEnd w:id="7"/>
      <w:r w:rsidRPr="004D1F87">
        <w:t>Foundation Skills</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Foundation skills essential to performance are explicit in the performance criteria of this unit of competency.</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8" w:name="O_1004708"/>
      <w:bookmarkEnd w:id="8"/>
      <w:r w:rsidRPr="004D1F87">
        <w:t>Range of Conditions</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Range is restricted to essential operating conditions and any other variables essential to the work environment.</w:t>
            </w:r>
          </w:p>
          <w:p w:rsidR="00000000" w:rsidRPr="004D1F87" w:rsidP="004D1F87">
            <w:pPr>
              <w:pStyle w:val="BodyText"/>
            </w:pPr>
            <w:r w:rsidRPr="004D1F87">
              <w:t>Non-essential conditions may be found in the Companion Volume Implementation Guide.</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9" w:name="O_1004709"/>
      <w:bookmarkEnd w:id="9"/>
      <w:r w:rsidRPr="004D1F87">
        <w:t>Unit Mapping Information</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This unit rep</w:t>
            </w:r>
            <w:r w:rsidRPr="004D1F87">
              <w:t>laces and is equivalent to UETTDRSB36A Commission discrete control and protection systems.</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10" w:name="O_1004716"/>
      <w:bookmarkEnd w:id="10"/>
      <w:r w:rsidRPr="004D1F87">
        <w:t>Links</w:t>
      </w:r>
    </w:p>
    <w:p w:rsidR="00000000" w:rsidRPr="004D1F87" w:rsidP="00A95E3C">
      <w:pPr>
        <w:pStyle w:val="BodyText"/>
      </w:pPr>
      <w:r w:rsidRPr="004D1F8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1334E">
        <w:rPr>
          <w:rStyle w:val="Hyperlink"/>
        </w:rPr>
        <w:t>https://vetnet.gov.au/Pages/TrainingDocs.aspx?q=229bace1-b7bc-4653-9300-dffb13ecfad7</w:t>
      </w:r>
      <w:r>
        <w:fldChar w:fldCharType="end"/>
      </w:r>
    </w:p>
    <w:p w:rsidR="00000000" w:rsidRPr="004D1F87" w:rsidP="00A95E3C">
      <w:pPr>
        <w:pStyle w:val="BodyText"/>
        <w:sectPr w:rsidSect="004D1F87">
          <w:headerReference w:type="default" r:id="rId10"/>
          <w:footerReference w:type="default" r:id="rId11"/>
          <w:pgSz w:w="11908" w:h="16833"/>
          <w:pgMar w:top="1702" w:right="1418" w:bottom="1702" w:left="1418" w:header="992" w:footer="992" w:gutter="0"/>
          <w:cols w:space="720"/>
          <w:noEndnote/>
          <w:docGrid w:linePitch="299"/>
        </w:sectPr>
      </w:pPr>
    </w:p>
    <w:p w:rsidR="00000000" w:rsidRPr="004D1F87" w:rsidP="004D1F87">
      <w:pPr>
        <w:pStyle w:val="SuperHeading"/>
      </w:pPr>
      <w:r w:rsidRPr="004D1F87">
        <w:t>Assessment Requirements for UETTDRSB36 Commi</w:t>
      </w:r>
      <w:r w:rsidRPr="004D1F87">
        <w:t>ssion discrete control and protection systems</w:t>
      </w:r>
    </w:p>
    <w:p w:rsidR="00000000" w:rsidRPr="004D1F87" w:rsidP="004D1F87">
      <w:pPr>
        <w:pStyle w:val="Heading1"/>
      </w:pPr>
      <w:bookmarkStart w:id="11" w:name="O_1004711"/>
      <w:bookmarkEnd w:id="11"/>
      <w:r w:rsidRPr="004D1F87">
        <w:t>Modification History</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Release 1. This is the first release of this unit of competency in the UET Transmission, Distribution and Rail Sector Training Package.</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12" w:name="O_1004712"/>
      <w:bookmarkEnd w:id="12"/>
      <w:r w:rsidRPr="004D1F87">
        <w:t>Performa</w:t>
      </w:r>
      <w:r w:rsidRPr="004D1F87">
        <w:t>nce Evidence</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 xml:space="preserve">Evidence required to demonstrate competence in this unit must be relevant to and satisfy all of the requirements of the elements and performance criteria on at least two separate occasions and include:  </w:t>
            </w:r>
          </w:p>
        </w:tc>
      </w:tr>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ListBullet"/>
            </w:pPr>
            <w:r w:rsidRPr="004D1F87">
              <w:t>applying relevant work health and saf</w:t>
            </w:r>
            <w:r w:rsidRPr="004D1F87">
              <w:t xml:space="preserve">ety (WHS)/occupational health and safety (OHS) requirements, including the use of risk control measures </w:t>
            </w:r>
          </w:p>
          <w:p w:rsidR="00000000" w:rsidRPr="004D1F87" w:rsidP="004D1F87">
            <w:pPr>
              <w:pStyle w:val="ListBullet"/>
            </w:pPr>
            <w:r w:rsidRPr="004D1F87">
              <w:t>applying sustainable energy principles and practices</w:t>
            </w:r>
          </w:p>
          <w:p w:rsidR="00000000" w:rsidRPr="004D1F87" w:rsidP="004D1F87">
            <w:pPr>
              <w:pStyle w:val="ListBullet"/>
            </w:pPr>
            <w:r w:rsidRPr="004D1F87">
              <w:t>undertaking final inspections and functional testing of the discrete protection and control systems including all of the following:</w:t>
            </w:r>
          </w:p>
          <w:p w:rsidR="00000000" w:rsidRPr="004D1F87" w:rsidP="004D1F87">
            <w:pPr>
              <w:pStyle w:val="ListBullet2"/>
            </w:pPr>
            <w:r w:rsidRPr="004D1F87">
              <w:t>isolating protection</w:t>
            </w:r>
          </w:p>
          <w:p w:rsidR="00000000" w:rsidRPr="004D1F87" w:rsidP="004D1F87">
            <w:pPr>
              <w:pStyle w:val="ListBullet2"/>
            </w:pPr>
            <w:r w:rsidRPr="004D1F87">
              <w:t>inspecting controls and alarms with discrete protection and control systems</w:t>
            </w:r>
          </w:p>
          <w:p w:rsidR="00000000" w:rsidRPr="004D1F87" w:rsidP="004D1F87">
            <w:pPr>
              <w:pStyle w:val="ListBullet2"/>
            </w:pPr>
            <w:r w:rsidRPr="004D1F87">
              <w:t>isolating current transfor</w:t>
            </w:r>
            <w:r w:rsidRPr="004D1F87">
              <w:t>mers</w:t>
            </w:r>
          </w:p>
          <w:p w:rsidR="00000000" w:rsidRPr="004D1F87" w:rsidP="004D1F87">
            <w:pPr>
              <w:pStyle w:val="ListBullet2"/>
            </w:pPr>
            <w:r w:rsidRPr="004D1F87">
              <w:t>calibrating discrete protection and control relays</w:t>
            </w:r>
          </w:p>
          <w:p w:rsidR="00000000" w:rsidRPr="004D1F87" w:rsidP="004D1F87">
            <w:pPr>
              <w:pStyle w:val="ListBullet2"/>
            </w:pPr>
            <w:r w:rsidRPr="004D1F87">
              <w:t>carrying out function tests (trips and alarms) on discrete protection and control systems without assistance</w:t>
            </w:r>
          </w:p>
          <w:p w:rsidR="00000000" w:rsidRPr="004D1F87" w:rsidP="004D1F87">
            <w:pPr>
              <w:pStyle w:val="ListBullet2"/>
            </w:pPr>
            <w:r w:rsidRPr="004D1F87">
              <w:t>writing reports on the performance of discrete protection and control systems</w:t>
            </w:r>
          </w:p>
          <w:p w:rsidR="00000000" w:rsidRPr="004D1F87" w:rsidP="004D1F87">
            <w:pPr>
              <w:pStyle w:val="ListBullet"/>
            </w:pPr>
            <w:r w:rsidRPr="004D1F87">
              <w:t xml:space="preserve">undertaking </w:t>
            </w:r>
            <w:r w:rsidRPr="004D1F87">
              <w:t>commissioning and testing of discrete control and protection devices including at least three (3) of the following:</w:t>
            </w:r>
          </w:p>
          <w:p w:rsidR="00000000" w:rsidRPr="004D1F87" w:rsidP="004D1F87">
            <w:pPr>
              <w:pStyle w:val="ListBullet2"/>
            </w:pPr>
            <w:r w:rsidRPr="004D1F87">
              <w:t>overcurrent</w:t>
            </w:r>
          </w:p>
          <w:p w:rsidR="00000000" w:rsidRPr="004D1F87" w:rsidP="004D1F87">
            <w:pPr>
              <w:pStyle w:val="ListBullet2"/>
            </w:pPr>
            <w:r w:rsidRPr="004D1F87">
              <w:t>frame leakage</w:t>
            </w:r>
          </w:p>
          <w:p w:rsidR="00000000" w:rsidRPr="004D1F87" w:rsidP="004D1F87">
            <w:pPr>
              <w:pStyle w:val="ListBullet2"/>
            </w:pPr>
            <w:r w:rsidRPr="004D1F87">
              <w:t>cooling controls</w:t>
            </w:r>
          </w:p>
          <w:p w:rsidR="00000000" w:rsidRPr="004D1F87" w:rsidP="004D1F87">
            <w:pPr>
              <w:pStyle w:val="ListBullet2"/>
            </w:pPr>
            <w:r w:rsidRPr="004D1F87">
              <w:t>buchholz/surge protection</w:t>
            </w:r>
          </w:p>
          <w:p w:rsidR="00000000" w:rsidRPr="004D1F87" w:rsidP="004D1F87">
            <w:pPr>
              <w:pStyle w:val="ListBullet2"/>
            </w:pPr>
            <w:r w:rsidRPr="004D1F87">
              <w:t>direct current (d.c.) supplies control</w:t>
            </w:r>
          </w:p>
          <w:p w:rsidR="00000000" w:rsidRPr="004D1F87" w:rsidP="004D1F87">
            <w:pPr>
              <w:pStyle w:val="ListBullet2"/>
            </w:pPr>
            <w:r w:rsidRPr="004D1F87">
              <w:t>neutral displacement circuit breaker reclose</w:t>
            </w:r>
          </w:p>
          <w:p w:rsidR="00000000" w:rsidRPr="004D1F87" w:rsidP="004D1F87">
            <w:pPr>
              <w:pStyle w:val="ListBullet2"/>
            </w:pPr>
            <w:r w:rsidRPr="004D1F87">
              <w:t>d.c. frame leakage</w:t>
            </w:r>
          </w:p>
          <w:p w:rsidR="00000000" w:rsidRPr="004D1F87" w:rsidP="004D1F87">
            <w:pPr>
              <w:pStyle w:val="ListBullet2"/>
            </w:pPr>
            <w:r w:rsidRPr="004D1F87">
              <w:t>CEL fail</w:t>
            </w:r>
          </w:p>
          <w:p w:rsidR="00000000" w:rsidRPr="004D1F87" w:rsidP="004D1F87">
            <w:pPr>
              <w:pStyle w:val="ListBullet2"/>
            </w:pPr>
            <w:r w:rsidRPr="004D1F87">
              <w:t>earth fault</w:t>
            </w:r>
          </w:p>
          <w:p w:rsidR="00000000" w:rsidRPr="004D1F87" w:rsidP="004D1F87">
            <w:pPr>
              <w:pStyle w:val="ListBullet"/>
            </w:pPr>
            <w:r w:rsidRPr="004D1F87">
              <w:t>dealing with unplanned events on at least one (1) occasion.</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13" w:name="O_1004713"/>
      <w:bookmarkEnd w:id="13"/>
      <w:r w:rsidRPr="004D1F87">
        <w:t>Knowledge Evidence</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1F87">
            <w:pPr>
              <w:pStyle w:val="BodyText"/>
              <w:rPr>
                <w:lang w:val="en-NZ"/>
              </w:rPr>
            </w:pPr>
            <w:r w:rsidRPr="004D1F87">
              <w:t>Evidence required to demonstrate competence in this unit must be relevant to and satisfy all of the requirements of the elements and performance criteria and include knowledge of:</w:t>
            </w:r>
          </w:p>
        </w:tc>
      </w:tr>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ListBullet"/>
            </w:pPr>
            <w:r w:rsidRPr="004D1F87">
              <w:t>commissioning procedures associated with discrete protection schemes encom</w:t>
            </w:r>
            <w:r w:rsidRPr="004D1F87">
              <w:t>passing:</w:t>
            </w:r>
          </w:p>
          <w:p w:rsidR="00000000" w:rsidRPr="004D1F87" w:rsidP="004D1F87">
            <w:pPr>
              <w:pStyle w:val="ListBullet2"/>
            </w:pPr>
            <w:r w:rsidRPr="004D1F87">
              <w:t>standards, codes, Commonwealth/state/territory legislation, supply authority regulations and/or enterprise requirements associated with the commissioning procedures</w:t>
            </w:r>
          </w:p>
          <w:p w:rsidR="00000000" w:rsidRPr="004D1F87" w:rsidP="004D1F87">
            <w:pPr>
              <w:pStyle w:val="ListBullet2"/>
            </w:pPr>
            <w:r w:rsidRPr="004D1F87">
              <w:t>requirements for the use of commissioning manuals, system diagrams/plans and drawings</w:t>
            </w:r>
          </w:p>
          <w:p w:rsidR="00000000" w:rsidRPr="004D1F87" w:rsidP="004D1F87">
            <w:pPr>
              <w:pStyle w:val="ListBullet2"/>
            </w:pPr>
            <w:r w:rsidRPr="004D1F87">
              <w:t>techniques in commissioning procedures – planning, policy and testing techniques</w:t>
            </w:r>
          </w:p>
          <w:p w:rsidR="00000000" w:rsidRPr="004D1F87" w:rsidP="004D1F87">
            <w:pPr>
              <w:pStyle w:val="ListBullet2"/>
            </w:pPr>
            <w:r w:rsidRPr="004D1F87">
              <w:t>close out requirements.</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14" w:name="O_1004714"/>
      <w:bookmarkEnd w:id="14"/>
      <w:r w:rsidRPr="004D1F87">
        <w:t>Assessment Conditions</w:t>
      </w:r>
    </w:p>
    <w:tbl>
      <w:tblPr>
        <w:tblW w:w="9497" w:type="dxa"/>
        <w:tblLayout w:type="fixed"/>
        <w:tblCellMar>
          <w:left w:w="62" w:type="dxa"/>
          <w:right w:w="62" w:type="dxa"/>
        </w:tblCellMar>
        <w:tblLook w:val="0000"/>
      </w:tblPr>
      <w:tblGrid>
        <w:gridCol w:w="9497"/>
      </w:tblGrid>
      <w:tr w:rsidTr="004D1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F87" w:rsidP="004D1F87">
            <w:pPr>
              <w:pStyle w:val="BodyText"/>
            </w:pPr>
            <w:r w:rsidRPr="004D1F87">
              <w:t>Assessors must hold cr</w:t>
            </w:r>
            <w:r w:rsidRPr="004D1F87">
              <w:t>edentials specified within the Standards for Registered Training Organisations current at the time of assessment.</w:t>
            </w:r>
          </w:p>
          <w:p w:rsidR="00000000" w:rsidRPr="004D1F87" w:rsidP="004D1F87">
            <w:pPr>
              <w:pStyle w:val="BodyText"/>
            </w:pPr>
            <w:r w:rsidRPr="004D1F87">
              <w:t>Assessment must satisfy the Principles of Assessment and Rules of Evidence and all regulatory requirements included within the Standards for R</w:t>
            </w:r>
            <w:r w:rsidRPr="004D1F87">
              <w:t>egistered Training Organisations current at the time of assessment.</w:t>
            </w:r>
          </w:p>
          <w:p w:rsidR="00000000" w:rsidRPr="004D1F87" w:rsidP="004D1F87">
            <w:pPr>
              <w:pStyle w:val="BodyText"/>
            </w:pPr>
            <w:r w:rsidRPr="004D1F87">
              <w:t>Assessment must occur in workplace operational situations where it is appropriate to do so; where this is not appropriate, assessment must occur in simulated conditions involving realistic</w:t>
            </w:r>
            <w:r w:rsidRPr="004D1F87">
              <w:t xml:space="preserve"> and authentic activities that replicate operational workplace conditions.</w:t>
            </w:r>
          </w:p>
          <w:p w:rsidR="00000000" w:rsidRPr="004D1F87" w:rsidP="004D1F87">
            <w:pPr>
              <w:pStyle w:val="BodyText"/>
            </w:pPr>
            <w:r w:rsidRPr="004D1F87">
              <w:t>Assessment processes and techniques must be appropriate to the language, literacy and numeracy requirements of the work being performed and the needs of the candidate.</w:t>
            </w:r>
          </w:p>
          <w:p w:rsidR="00000000" w:rsidRPr="004D1F87" w:rsidP="004D1F87">
            <w:pPr>
              <w:pStyle w:val="BodyText"/>
            </w:pPr>
            <w:r w:rsidRPr="004D1F87">
              <w:t>Resources for</w:t>
            </w:r>
            <w:r w:rsidRPr="004D1F87">
              <w:t xml:space="preserve"> assessment must include access to:</w:t>
            </w:r>
          </w:p>
          <w:p w:rsidR="00000000" w:rsidRPr="004D1F87" w:rsidP="004D1F87">
            <w:pPr>
              <w:pStyle w:val="ListBullet"/>
            </w:pPr>
            <w:r w:rsidRPr="004D1F87">
              <w:t>a range of relevant exercises, case studies and/or other simulations</w:t>
            </w:r>
          </w:p>
          <w:p w:rsidR="00000000" w:rsidRPr="004D1F87" w:rsidP="004D1F87">
            <w:pPr>
              <w:pStyle w:val="ListBullet"/>
            </w:pPr>
            <w:r w:rsidRPr="004D1F87">
              <w:t>relevant and appropriate materials, tools, equipment and personal protective equipment (PPE) currently used in industry</w:t>
            </w:r>
          </w:p>
          <w:p w:rsidR="00000000" w:rsidRPr="004D1F87" w:rsidP="004D1F87">
            <w:pPr>
              <w:pStyle w:val="ListBullet"/>
            </w:pPr>
            <w:r w:rsidRPr="004D1F87">
              <w:t>applicable documentation, including workplace procedures, equipment specifications, regulations, codes of practice and operation manuals.</w:t>
            </w:r>
          </w:p>
        </w:tc>
      </w:tr>
    </w:tbl>
    <w:p w:rsidR="00000000" w:rsidRPr="004D1F87" w:rsidP="004D1F87">
      <w:pPr>
        <w:pStyle w:val="NoPaddingFontSize1"/>
      </w:pPr>
    </w:p>
    <w:p w:rsidR="00000000" w:rsidRPr="004D1F87" w:rsidP="004D1F87">
      <w:pPr>
        <w:pStyle w:val="AllowPageBreak"/>
      </w:pPr>
    </w:p>
    <w:p w:rsidR="00000000" w:rsidRPr="004D1F87" w:rsidP="004D1F87">
      <w:pPr>
        <w:pStyle w:val="Heading1"/>
      </w:pPr>
      <w:bookmarkStart w:id="15" w:name="O_1004717"/>
      <w:bookmarkEnd w:id="15"/>
      <w:r w:rsidRPr="004D1F87">
        <w:t>Links</w:t>
      </w:r>
    </w:p>
    <w:p w:rsidR="00000000" w:rsidRPr="004D1F87" w:rsidP="00A95E3C">
      <w:pPr>
        <w:pStyle w:val="BodyText"/>
      </w:pPr>
      <w:r w:rsidRPr="004D1F8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1334E">
        <w:rPr>
          <w:rStyle w:val="Hyperlink"/>
        </w:rPr>
        <w:t>https://vetnet.gov.au/Pages/TrainingDocs.aspx?q=229bace1-b7bc-4653-9300-dffb13ecfad7</w:t>
      </w:r>
      <w:r>
        <w:fldChar w:fldCharType="end"/>
      </w:r>
    </w:p>
    <w:p w:rsidR="00000000" w:rsidRPr="004D1F87" w:rsidP="004D1F87"/>
    <w:sectPr w:rsidSect="004D1F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rsidRPr="00A95E3C" w:rsidP="00A95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3C" w:rsidP="004D1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5E3C" w:rsidP="004D1F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95E3C" w:rsidP="004D1F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rsidP="004D1F87">
    <w:pPr>
      <w:pStyle w:val="Footer"/>
      <w:framePr w:wrap="around"/>
    </w:pPr>
    <w:r>
      <w:fldChar w:fldCharType="begin"/>
    </w:r>
    <w:r>
      <w:instrText xml:space="preserve"> DOCPROPERTY  Subject  \* MERGEFORMAT </w:instrText>
    </w:r>
    <w:r>
      <w:fldChar w:fldCharType="separate"/>
    </w:r>
    <w:r w:rsidR="00A95E3C">
      <w:t>Approved</w:t>
    </w:r>
    <w:r w:rsidR="00A95E3C">
      <w:fldChar w:fldCharType="end"/>
    </w:r>
    <w:r>
      <w:tab/>
      <w:t xml:space="preserve">Page </w:t>
    </w:r>
    <w:r>
      <w:fldChar w:fldCharType="begin"/>
    </w:r>
    <w:r>
      <w:instrText xml:space="preserve"> PAGE  \* Arabic  \* MERGEFORMAT </w:instrText>
    </w:r>
    <w:r>
      <w:fldChar w:fldCharType="separate"/>
    </w:r>
    <w:r w:rsidR="00A95E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5E3C">
      <w:rPr>
        <w:noProof/>
      </w:rPr>
      <w:t>5</w:t>
    </w:r>
    <w:r>
      <w:rPr>
        <w:noProof/>
      </w:rPr>
      <w:fldChar w:fldCharType="end"/>
    </w:r>
  </w:p>
  <w:p w:rsidR="004D1F87" w:rsidP="004D1F87">
    <w:pPr>
      <w:pStyle w:val="Footer"/>
      <w:framePr w:wrap="around"/>
    </w:pPr>
    <w:r>
      <w:t xml:space="preserve">© Commonwealth of Australia, </w:t>
    </w:r>
    <w:r>
      <w:fldChar w:fldCharType="begin"/>
    </w:r>
    <w:r>
      <w:instrText xml:space="preserve"> DATE  \@ "yyyy"  \* MERGEFORMAT </w:instrText>
    </w:r>
    <w:r>
      <w:fldChar w:fldCharType="separate"/>
    </w:r>
    <w:r w:rsidR="00A95E3C">
      <w:rPr>
        <w:noProof/>
      </w:rPr>
      <w:t>2025</w:t>
    </w:r>
    <w:r>
      <w:fldChar w:fldCharType="end"/>
    </w:r>
    <w:r>
      <w:tab/>
    </w:r>
    <w:r>
      <w:fldChar w:fldCharType="begin"/>
    </w:r>
    <w:r>
      <w:instrText xml:space="preserve"> DOCPROPERTY  Author  \* MERGEFORMAT </w:instrText>
    </w:r>
    <w:r>
      <w:fldChar w:fldCharType="separate"/>
    </w:r>
    <w:r w:rsidR="00A95E3C">
      <w:t>Powering Skills Organisation</w:t>
    </w:r>
    <w:r w:rsidR="00A95E3C">
      <w:fldChar w:fldCharType="end"/>
    </w:r>
  </w:p>
  <w:p w:rsidR="004D1F87" w:rsidP="004D1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F87" w:rsidRPr="00A95E3C" w:rsidP="00A95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3C" w:rsidRPr="002D2AF8" w:rsidP="004D1F87">
    <w:pPr>
      <w:pStyle w:val="Header"/>
      <w:framePr w:wrap="around"/>
    </w:pPr>
    <w:r>
      <w:fldChar w:fldCharType="begin"/>
    </w:r>
    <w:r>
      <w:instrText xml:space="preserve"> TITLE   \* MERGEFORMAT </w:instrText>
    </w:r>
    <w:r>
      <w:fldChar w:fldCharType="separate"/>
    </w:r>
    <w:r>
      <w:t>UETTDRSB36 Commission discrete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5E3C" w:rsidP="004D1F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F87" w:rsidRPr="002D2AF8" w:rsidP="004D1F87">
    <w:pPr>
      <w:pStyle w:val="Header"/>
      <w:framePr w:wrap="around"/>
    </w:pPr>
    <w:r>
      <w:fldChar w:fldCharType="begin"/>
    </w:r>
    <w:r>
      <w:instrText xml:space="preserve"> TITLE   \* MERGEFORMAT </w:instrText>
    </w:r>
    <w:r>
      <w:fldChar w:fldCharType="separate"/>
    </w:r>
    <w:r w:rsidR="00A95E3C">
      <w:t>UETTDRSB36 Commission discrete control and protection systems</w:t>
    </w:r>
    <w:r w:rsidR="00A95E3C">
      <w:fldChar w:fldCharType="end"/>
    </w:r>
    <w:r>
      <w:tab/>
      <w:t xml:space="preserve">Date this document was generated: </w:t>
    </w:r>
    <w:r>
      <w:fldChar w:fldCharType="begin"/>
    </w:r>
    <w:r>
      <w:instrText xml:space="preserve"> CREATEDATE  \@ "d MMMM yyyy"  \* MERGEFORMAT </w:instrText>
    </w:r>
    <w:r>
      <w:fldChar w:fldCharType="separate"/>
    </w:r>
    <w:r w:rsidR="00A95E3C">
      <w:rPr>
        <w:noProof/>
      </w:rPr>
      <w:t>1 March 2025</w:t>
    </w:r>
    <w:r>
      <w:fldChar w:fldCharType="end"/>
    </w:r>
  </w:p>
  <w:p w:rsidR="004D1F87" w:rsidP="004D1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CA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27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1E6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F87"/>
    <w:pPr>
      <w:spacing w:before="360" w:after="60"/>
      <w:outlineLvl w:val="0"/>
    </w:pPr>
    <w:rPr>
      <w:sz w:val="32"/>
    </w:rPr>
  </w:style>
  <w:style w:type="paragraph" w:styleId="Heading2">
    <w:name w:val="heading 2"/>
    <w:basedOn w:val="HeadingBase"/>
    <w:next w:val="BodyText"/>
    <w:link w:val="Heading2Char"/>
    <w:qFormat/>
    <w:rsid w:val="004D1F87"/>
    <w:pPr>
      <w:keepLines/>
      <w:spacing w:before="240" w:after="120"/>
      <w:outlineLvl w:val="1"/>
    </w:pPr>
    <w:rPr>
      <w:sz w:val="28"/>
      <w:szCs w:val="40"/>
    </w:rPr>
  </w:style>
  <w:style w:type="paragraph" w:styleId="Heading3">
    <w:name w:val="heading 3"/>
    <w:basedOn w:val="HeadingBase"/>
    <w:next w:val="BodyText"/>
    <w:link w:val="Heading3Char"/>
    <w:qFormat/>
    <w:rsid w:val="004D1F87"/>
    <w:pPr>
      <w:spacing w:before="180" w:after="120"/>
      <w:outlineLvl w:val="2"/>
    </w:pPr>
    <w:rPr>
      <w:spacing w:val="-10"/>
      <w:kern w:val="32"/>
    </w:rPr>
  </w:style>
  <w:style w:type="paragraph" w:styleId="Heading4">
    <w:name w:val="heading 4"/>
    <w:basedOn w:val="HeadingBase"/>
    <w:next w:val="BodyText"/>
    <w:link w:val="Heading4Char"/>
    <w:qFormat/>
    <w:rsid w:val="004D1F87"/>
    <w:pPr>
      <w:spacing w:before="160" w:after="120"/>
      <w:outlineLvl w:val="3"/>
    </w:pPr>
    <w:rPr>
      <w:sz w:val="22"/>
    </w:rPr>
  </w:style>
  <w:style w:type="paragraph" w:styleId="Heading5">
    <w:name w:val="heading 5"/>
    <w:basedOn w:val="HeadingBase"/>
    <w:next w:val="Normal"/>
    <w:link w:val="Heading5Char"/>
    <w:qFormat/>
    <w:rsid w:val="004D1F87"/>
    <w:pPr>
      <w:spacing w:before="80"/>
      <w:outlineLvl w:val="4"/>
    </w:pPr>
    <w:rPr>
      <w:color w:val="918585"/>
      <w:sz w:val="20"/>
    </w:rPr>
  </w:style>
  <w:style w:type="paragraph" w:styleId="Heading6">
    <w:name w:val="heading 6"/>
    <w:basedOn w:val="HeadingBase"/>
    <w:next w:val="Normal"/>
    <w:link w:val="Heading6Char"/>
    <w:qFormat/>
    <w:rsid w:val="004D1F87"/>
    <w:pPr>
      <w:spacing w:before="60"/>
      <w:outlineLvl w:val="5"/>
    </w:pPr>
    <w:rPr>
      <w:color w:val="918585"/>
      <w:sz w:val="20"/>
    </w:rPr>
  </w:style>
  <w:style w:type="paragraph" w:styleId="Heading7">
    <w:name w:val="heading 7"/>
    <w:basedOn w:val="Normal"/>
    <w:next w:val="Normal"/>
    <w:link w:val="Heading7Char"/>
    <w:qFormat/>
    <w:rsid w:val="004D1F87"/>
    <w:pPr>
      <w:ind w:left="720"/>
      <w:outlineLvl w:val="6"/>
    </w:pPr>
    <w:rPr>
      <w:i/>
    </w:rPr>
  </w:style>
  <w:style w:type="paragraph" w:styleId="Heading8">
    <w:name w:val="heading 8"/>
    <w:basedOn w:val="Normal"/>
    <w:next w:val="Normal"/>
    <w:link w:val="Heading8Char"/>
    <w:qFormat/>
    <w:rsid w:val="004D1F87"/>
    <w:pPr>
      <w:ind w:left="720"/>
      <w:outlineLvl w:val="7"/>
    </w:pPr>
    <w:rPr>
      <w:i/>
    </w:rPr>
  </w:style>
  <w:style w:type="paragraph" w:styleId="Heading9">
    <w:name w:val="heading 9"/>
    <w:basedOn w:val="Normal"/>
    <w:next w:val="Normal"/>
    <w:link w:val="Heading9Char"/>
    <w:qFormat/>
    <w:rsid w:val="004D1F87"/>
    <w:pPr>
      <w:ind w:left="720"/>
      <w:outlineLvl w:val="8"/>
    </w:pPr>
    <w:rPr>
      <w:i/>
    </w:rPr>
  </w:style>
  <w:style w:type="character" w:default="1" w:styleId="DefaultParagraphFont">
    <w:name w:val="Default Paragraph Font"/>
    <w:uiPriority w:val="1"/>
    <w:unhideWhenUsed/>
    <w:rsid w:val="004D1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F87"/>
  </w:style>
  <w:style w:type="character" w:customStyle="1" w:styleId="Heading1Char">
    <w:name w:val="Heading 1 Char"/>
    <w:basedOn w:val="DefaultParagraphFont"/>
    <w:link w:val="Heading1"/>
    <w:rsid w:val="004D1F87"/>
    <w:rPr>
      <w:rFonts w:ascii="Times New Roman" w:eastAsia="Times New Roman" w:hAnsi="Times New Roman" w:cs="Times New Roman"/>
      <w:b/>
      <w:sz w:val="32"/>
      <w:szCs w:val="20"/>
      <w:lang w:eastAsia="en-US"/>
    </w:rPr>
  </w:style>
  <w:style w:type="paragraph" w:styleId="BodyText">
    <w:name w:val="Body Text"/>
    <w:basedOn w:val="Normal"/>
    <w:link w:val="BodyTextChar"/>
    <w:rsid w:val="004D1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F87"/>
    <w:rPr>
      <w:rFonts w:ascii="Times New Roman" w:eastAsia="Times New Roman" w:hAnsi="Times New Roman" w:cs="Times New Roman"/>
      <w:sz w:val="24"/>
      <w:lang w:eastAsia="en-US"/>
    </w:rPr>
  </w:style>
  <w:style w:type="paragraph" w:styleId="ListBullet">
    <w:name w:val="List Bullet"/>
    <w:basedOn w:val="List"/>
    <w:rsid w:val="004D1F87"/>
    <w:pPr>
      <w:numPr>
        <w:numId w:val="12"/>
      </w:numPr>
      <w:tabs>
        <w:tab w:val="clear" w:pos="340"/>
      </w:tabs>
      <w:spacing w:before="40" w:after="40"/>
    </w:pPr>
  </w:style>
  <w:style w:type="character" w:customStyle="1" w:styleId="SpecialBold">
    <w:name w:val="Special Bold"/>
    <w:basedOn w:val="DefaultParagraphFont"/>
    <w:rsid w:val="004D1F87"/>
    <w:rPr>
      <w:b/>
      <w:spacing w:val="0"/>
    </w:rPr>
  </w:style>
  <w:style w:type="paragraph" w:styleId="ListBullet2">
    <w:name w:val="List Bullet 2"/>
    <w:basedOn w:val="List2"/>
    <w:rsid w:val="004D1F87"/>
    <w:pPr>
      <w:numPr>
        <w:numId w:val="13"/>
      </w:numPr>
      <w:tabs>
        <w:tab w:val="clear" w:pos="680"/>
      </w:tabs>
    </w:pPr>
  </w:style>
  <w:style w:type="paragraph" w:customStyle="1" w:styleId="SuperHeading">
    <w:name w:val="SuperHeading"/>
    <w:basedOn w:val="Normal"/>
    <w:rsid w:val="004D1F87"/>
    <w:pPr>
      <w:spacing w:before="240" w:after="120"/>
      <w:outlineLvl w:val="0"/>
    </w:pPr>
    <w:rPr>
      <w:rFonts w:ascii="Times New Roman" w:hAnsi="Times New Roman"/>
      <w:b/>
      <w:sz w:val="32"/>
    </w:rPr>
  </w:style>
  <w:style w:type="paragraph" w:customStyle="1" w:styleId="AllowPageBreak">
    <w:name w:val="AllowPageBreak"/>
    <w:rsid w:val="004D1F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1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F87"/>
    <w:rPr>
      <w:rFonts w:ascii="Courier New" w:eastAsia="Times New Roman" w:hAnsi="Courier New" w:cs="Times New Roman"/>
      <w:i/>
      <w:szCs w:val="20"/>
      <w:lang w:eastAsia="en-US"/>
    </w:rPr>
  </w:style>
  <w:style w:type="paragraph" w:customStyle="1" w:styleId="HeadingBase">
    <w:name w:val="Heading Base"/>
    <w:rsid w:val="004D1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F87"/>
    <w:pPr>
      <w:tabs>
        <w:tab w:val="right" w:leader="dot" w:pos="9072"/>
      </w:tabs>
      <w:ind w:left="567"/>
    </w:pPr>
    <w:rPr>
      <w:szCs w:val="22"/>
    </w:rPr>
  </w:style>
  <w:style w:type="paragraph" w:customStyle="1" w:styleId="TOCBase">
    <w:name w:val="TOC Base"/>
    <w:rsid w:val="004D1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F87"/>
    <w:pPr>
      <w:tabs>
        <w:tab w:val="right" w:leader="dot" w:pos="9072"/>
      </w:tabs>
      <w:spacing w:before="40" w:after="40"/>
      <w:ind w:left="284"/>
    </w:pPr>
    <w:rPr>
      <w:rFonts w:ascii="Times New Roman" w:hAnsi="Times New Roman"/>
    </w:rPr>
  </w:style>
  <w:style w:type="paragraph" w:styleId="TOC1">
    <w:name w:val="toc 1"/>
    <w:basedOn w:val="TOCBase"/>
    <w:next w:val="Normal"/>
    <w:rsid w:val="004D1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F87"/>
    <w:rPr>
      <w:rFonts w:ascii="Times New Roman" w:eastAsia="Times New Roman" w:hAnsi="Times New Roman" w:cs="Times New Roman"/>
      <w:sz w:val="16"/>
      <w:lang w:eastAsia="en-US"/>
    </w:rPr>
  </w:style>
  <w:style w:type="paragraph" w:styleId="Title">
    <w:name w:val="Title"/>
    <w:basedOn w:val="HeadingBase"/>
    <w:link w:val="TitleChar"/>
    <w:qFormat/>
    <w:rsid w:val="004D1F87"/>
    <w:pPr>
      <w:spacing w:before="5040"/>
      <w:jc w:val="center"/>
    </w:pPr>
    <w:rPr>
      <w:sz w:val="48"/>
      <w:szCs w:val="72"/>
      <w:lang w:val="en-US"/>
    </w:rPr>
  </w:style>
  <w:style w:type="character" w:customStyle="1" w:styleId="TitleChar">
    <w:name w:val="Title Char"/>
    <w:basedOn w:val="DefaultParagraphFont"/>
    <w:link w:val="Title"/>
    <w:rsid w:val="004D1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F87"/>
    <w:pPr>
      <w:tabs>
        <w:tab w:val="left" w:pos="3600"/>
        <w:tab w:val="left" w:pos="3958"/>
      </w:tabs>
    </w:pPr>
  </w:style>
  <w:style w:type="paragraph" w:styleId="List">
    <w:name w:val="List"/>
    <w:basedOn w:val="BodyText"/>
    <w:next w:val="BodyText"/>
    <w:rsid w:val="004D1F87"/>
    <w:pPr>
      <w:tabs>
        <w:tab w:val="left" w:pos="340"/>
      </w:tabs>
      <w:spacing w:before="60" w:after="60"/>
      <w:ind w:left="340" w:hanging="340"/>
    </w:pPr>
  </w:style>
  <w:style w:type="paragraph" w:customStyle="1" w:styleId="Note">
    <w:name w:val="Note"/>
    <w:basedOn w:val="BodyText"/>
    <w:rsid w:val="004D1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F87"/>
    <w:pPr>
      <w:framePr w:wrap="auto" w:hAnchor="text" w:y="6049"/>
    </w:pPr>
    <w:rPr>
      <w:color w:val="000000"/>
      <w:sz w:val="40"/>
    </w:rPr>
  </w:style>
  <w:style w:type="paragraph" w:customStyle="1" w:styleId="TOCTitle">
    <w:name w:val="TOCTitle"/>
    <w:basedOn w:val="Heading1"/>
    <w:rsid w:val="004D1F87"/>
    <w:pPr>
      <w:spacing w:after="240"/>
      <w:jc w:val="center"/>
      <w:outlineLvl w:val="9"/>
    </w:pPr>
    <w:rPr>
      <w:caps/>
    </w:rPr>
  </w:style>
  <w:style w:type="paragraph" w:customStyle="1" w:styleId="Version">
    <w:name w:val="Version"/>
    <w:rsid w:val="004D1F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1F87"/>
    <w:pPr>
      <w:keepNext w:val="0"/>
      <w:tabs>
        <w:tab w:val="right" w:pos="4176"/>
      </w:tabs>
      <w:ind w:left="198" w:hanging="198"/>
    </w:pPr>
    <w:rPr>
      <w:rFonts w:ascii="Garamond" w:hAnsi="Garamond"/>
    </w:rPr>
  </w:style>
  <w:style w:type="paragraph" w:styleId="IndexHeading">
    <w:name w:val="index heading"/>
    <w:basedOn w:val="Normal"/>
    <w:next w:val="Index1"/>
    <w:semiHidden/>
    <w:rsid w:val="004D1F87"/>
    <w:pPr>
      <w:spacing w:before="120" w:after="120"/>
    </w:pPr>
    <w:rPr>
      <w:rFonts w:ascii="Arial" w:hAnsi="Arial"/>
      <w:b/>
      <w:color w:val="918585"/>
      <w:sz w:val="24"/>
    </w:rPr>
  </w:style>
  <w:style w:type="paragraph" w:styleId="Header">
    <w:name w:val="header"/>
    <w:basedOn w:val="Normal"/>
    <w:link w:val="HeaderChar"/>
    <w:rsid w:val="004D1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F87"/>
    <w:rPr>
      <w:rFonts w:ascii="Times New Roman" w:eastAsia="Times New Roman" w:hAnsi="Times New Roman" w:cs="Times New Roman"/>
      <w:sz w:val="16"/>
      <w:szCs w:val="20"/>
      <w:lang w:val="en-GB" w:eastAsia="en-US"/>
    </w:rPr>
  </w:style>
  <w:style w:type="paragraph" w:customStyle="1" w:styleId="Chapter">
    <w:name w:val="Chapter"/>
    <w:basedOn w:val="Normal"/>
    <w:rsid w:val="004D1F87"/>
    <w:pPr>
      <w:spacing w:before="240"/>
    </w:pPr>
    <w:rPr>
      <w:rFonts w:ascii="Times New Roman" w:hAnsi="Times New Roman"/>
      <w:smallCaps/>
      <w:spacing w:val="80"/>
      <w:sz w:val="28"/>
    </w:rPr>
  </w:style>
  <w:style w:type="paragraph" w:customStyle="1" w:styleId="InChapter">
    <w:name w:val="InChapter"/>
    <w:basedOn w:val="Heading3"/>
    <w:rsid w:val="004D1F87"/>
    <w:pPr>
      <w:spacing w:after="240"/>
      <w:outlineLvl w:val="9"/>
    </w:pPr>
    <w:rPr>
      <w:noProof/>
    </w:rPr>
  </w:style>
  <w:style w:type="paragraph" w:styleId="Index2">
    <w:name w:val="index 2"/>
    <w:basedOn w:val="Normal"/>
    <w:next w:val="Normal"/>
    <w:semiHidden/>
    <w:rsid w:val="004D1F87"/>
    <w:pPr>
      <w:tabs>
        <w:tab w:val="right" w:pos="4176"/>
      </w:tabs>
      <w:ind w:left="568" w:hanging="284"/>
    </w:pPr>
    <w:rPr>
      <w:rFonts w:ascii="Garamond" w:hAnsi="Garamond"/>
    </w:rPr>
  </w:style>
  <w:style w:type="paragraph" w:customStyle="1" w:styleId="Byline">
    <w:name w:val="Byline"/>
    <w:rsid w:val="004D1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F87"/>
    <w:pPr>
      <w:tabs>
        <w:tab w:val="clear" w:pos="3600"/>
        <w:tab w:val="clear" w:pos="3958"/>
      </w:tabs>
      <w:jc w:val="right"/>
    </w:pPr>
  </w:style>
  <w:style w:type="character" w:styleId="Emphasis">
    <w:name w:val="Emphasis"/>
    <w:basedOn w:val="DefaultParagraphFont"/>
    <w:qFormat/>
    <w:rsid w:val="004D1F87"/>
    <w:rPr>
      <w:i/>
    </w:rPr>
  </w:style>
  <w:style w:type="paragraph" w:styleId="Caption">
    <w:name w:val="caption"/>
    <w:basedOn w:val="BodyText"/>
    <w:next w:val="Normal"/>
    <w:qFormat/>
    <w:rsid w:val="004D1F87"/>
    <w:pPr>
      <w:framePr w:w="2268" w:hSpace="181" w:vSpace="181" w:wrap="around" w:vAnchor="text" w:hAnchor="page" w:x="1135" w:y="285" w:anchorLock="1"/>
    </w:pPr>
    <w:rPr>
      <w:i/>
    </w:rPr>
  </w:style>
  <w:style w:type="paragraph" w:customStyle="1" w:styleId="MiniTOCTitle">
    <w:name w:val="MiniTOCTitle"/>
    <w:basedOn w:val="Heading4"/>
    <w:rsid w:val="004D1F87"/>
    <w:pPr>
      <w:spacing w:before="240"/>
      <w:outlineLvl w:val="9"/>
    </w:pPr>
    <w:rPr>
      <w:noProof/>
      <w:sz w:val="24"/>
    </w:rPr>
  </w:style>
  <w:style w:type="paragraph" w:customStyle="1" w:styleId="MiniTOCItem">
    <w:name w:val="MiniTOCItem"/>
    <w:basedOn w:val="ListBullet"/>
    <w:rsid w:val="004D1F87"/>
    <w:pPr>
      <w:numPr>
        <w:numId w:val="0"/>
      </w:numPr>
      <w:tabs>
        <w:tab w:val="right" w:leader="dot" w:pos="6521"/>
      </w:tabs>
      <w:spacing w:before="0" w:after="0"/>
    </w:pPr>
  </w:style>
  <w:style w:type="paragraph" w:customStyle="1" w:styleId="TOFTitle">
    <w:name w:val="TOFTitle"/>
    <w:basedOn w:val="TOCTitle"/>
    <w:rsid w:val="004D1F87"/>
  </w:style>
  <w:style w:type="paragraph" w:styleId="TableofFigures">
    <w:name w:val="table of figures"/>
    <w:basedOn w:val="Normal"/>
    <w:next w:val="Normal"/>
    <w:semiHidden/>
    <w:rsid w:val="004D1F87"/>
    <w:pPr>
      <w:tabs>
        <w:tab w:val="right" w:leader="dot" w:pos="9072"/>
      </w:tabs>
      <w:ind w:left="970" w:hanging="403"/>
    </w:pPr>
    <w:rPr>
      <w:rFonts w:ascii="Times New Roman" w:hAnsi="Times New Roman"/>
      <w:b/>
    </w:rPr>
  </w:style>
  <w:style w:type="paragraph" w:styleId="ListNumber">
    <w:name w:val="List Number"/>
    <w:basedOn w:val="List"/>
    <w:rsid w:val="004D1F87"/>
    <w:pPr>
      <w:numPr>
        <w:numId w:val="15"/>
      </w:numPr>
      <w:tabs>
        <w:tab w:val="clear" w:pos="340"/>
      </w:tabs>
    </w:pPr>
  </w:style>
  <w:style w:type="character" w:customStyle="1" w:styleId="WingdingSymbols">
    <w:name w:val="Wingding Symbols"/>
    <w:rsid w:val="004D1F87"/>
    <w:rPr>
      <w:rFonts w:ascii="Wingdings" w:hAnsi="Wingdings"/>
    </w:rPr>
  </w:style>
  <w:style w:type="paragraph" w:customStyle="1" w:styleId="TableHeading">
    <w:name w:val="Table Heading"/>
    <w:basedOn w:val="HeadingBase"/>
    <w:rsid w:val="004D1F87"/>
    <w:pPr>
      <w:keepLines/>
      <w:pBdr>
        <w:bottom w:val="single" w:sz="6" w:space="1" w:color="918585"/>
      </w:pBdr>
      <w:spacing w:before="240"/>
    </w:pPr>
  </w:style>
  <w:style w:type="character" w:customStyle="1" w:styleId="HotSpot">
    <w:name w:val="HotSpot"/>
    <w:rsid w:val="004D1F87"/>
    <w:rPr>
      <w:color w:val="0033CC"/>
      <w:u w:val="none"/>
    </w:rPr>
  </w:style>
  <w:style w:type="paragraph" w:customStyle="1" w:styleId="BodyTextRight">
    <w:name w:val="Body Text Right"/>
    <w:basedOn w:val="BodyText"/>
    <w:rsid w:val="004D1F87"/>
    <w:pPr>
      <w:spacing w:before="0" w:after="0"/>
      <w:jc w:val="right"/>
    </w:pPr>
  </w:style>
  <w:style w:type="paragraph" w:styleId="Index3">
    <w:name w:val="index 3"/>
    <w:basedOn w:val="ListNumber2"/>
    <w:next w:val="Normal"/>
    <w:semiHidden/>
    <w:rsid w:val="004D1F87"/>
    <w:pPr>
      <w:numPr>
        <w:numId w:val="0"/>
      </w:numPr>
      <w:tabs>
        <w:tab w:val="right" w:leader="dot" w:pos="4176"/>
      </w:tabs>
    </w:pPr>
  </w:style>
  <w:style w:type="paragraph" w:styleId="ListNumber2">
    <w:name w:val="List Number 2"/>
    <w:basedOn w:val="List2"/>
    <w:rsid w:val="004D1F87"/>
    <w:pPr>
      <w:numPr>
        <w:numId w:val="10"/>
      </w:numPr>
      <w:tabs>
        <w:tab w:val="clear" w:pos="1060"/>
      </w:tabs>
    </w:pPr>
  </w:style>
  <w:style w:type="paragraph" w:customStyle="1" w:styleId="MarginNote">
    <w:name w:val="Margin Note"/>
    <w:basedOn w:val="BodyText"/>
    <w:rsid w:val="004D1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F87"/>
    <w:rPr>
      <w:sz w:val="32"/>
    </w:rPr>
  </w:style>
  <w:style w:type="paragraph" w:customStyle="1" w:styleId="HeadingProcedure">
    <w:name w:val="Heading Procedure"/>
    <w:basedOn w:val="HeadingBase"/>
    <w:next w:val="Normal"/>
    <w:rsid w:val="004D1F87"/>
    <w:pPr>
      <w:tabs>
        <w:tab w:val="left" w:pos="0"/>
      </w:tabs>
      <w:spacing w:before="120" w:after="60"/>
    </w:pPr>
    <w:rPr>
      <w:i/>
      <w:color w:val="918585"/>
      <w:sz w:val="22"/>
    </w:rPr>
  </w:style>
  <w:style w:type="paragraph" w:customStyle="1" w:styleId="TableBodyText">
    <w:name w:val="Table Body Text"/>
    <w:basedOn w:val="BodyText"/>
    <w:rsid w:val="004D1F87"/>
    <w:pPr>
      <w:spacing w:before="60" w:after="60"/>
    </w:pPr>
  </w:style>
  <w:style w:type="paragraph" w:styleId="ListContinue">
    <w:name w:val="List Continue"/>
    <w:basedOn w:val="List"/>
    <w:rsid w:val="004D1F87"/>
    <w:pPr>
      <w:ind w:firstLine="0"/>
    </w:pPr>
  </w:style>
  <w:style w:type="paragraph" w:customStyle="1" w:styleId="ListNote">
    <w:name w:val="List Note"/>
    <w:basedOn w:val="List"/>
    <w:rsid w:val="004D1F87"/>
    <w:pPr>
      <w:pBdr>
        <w:top w:val="single" w:sz="6" w:space="2" w:color="918585"/>
        <w:bottom w:val="single" w:sz="6" w:space="2" w:color="918585"/>
      </w:pBdr>
      <w:tabs>
        <w:tab w:val="left" w:pos="1021"/>
      </w:tabs>
      <w:ind w:firstLine="0"/>
    </w:pPr>
  </w:style>
  <w:style w:type="paragraph" w:customStyle="1" w:styleId="Warning">
    <w:name w:val="Warning"/>
    <w:basedOn w:val="BodyText"/>
    <w:rsid w:val="004D1F87"/>
    <w:pPr>
      <w:shd w:val="clear" w:color="auto" w:fill="D9D9D9"/>
      <w:tabs>
        <w:tab w:val="left" w:pos="992"/>
      </w:tabs>
      <w:ind w:left="119" w:right="119"/>
    </w:pPr>
    <w:rPr>
      <w:sz w:val="20"/>
    </w:rPr>
  </w:style>
  <w:style w:type="paragraph" w:customStyle="1" w:styleId="MarginIcons">
    <w:name w:val="Margin Icons"/>
    <w:basedOn w:val="BodyText"/>
    <w:rsid w:val="004D1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F87"/>
    <w:rPr>
      <w:rFonts w:ascii="Courier New" w:hAnsi="Courier New"/>
    </w:rPr>
  </w:style>
  <w:style w:type="paragraph" w:customStyle="1" w:styleId="NoteBullet">
    <w:name w:val="Note Bullet"/>
    <w:basedOn w:val="Note"/>
    <w:rsid w:val="004D1F87"/>
    <w:pPr>
      <w:tabs>
        <w:tab w:val="clear" w:pos="680"/>
      </w:tabs>
      <w:spacing w:before="60" w:after="60"/>
    </w:pPr>
  </w:style>
  <w:style w:type="paragraph" w:customStyle="1" w:styleId="SubHeading2">
    <w:name w:val="SubHeading2"/>
    <w:basedOn w:val="HeadingBase"/>
    <w:rsid w:val="004D1F87"/>
    <w:pPr>
      <w:spacing w:before="240" w:after="60"/>
    </w:pPr>
    <w:rPr>
      <w:sz w:val="20"/>
    </w:rPr>
  </w:style>
  <w:style w:type="paragraph" w:customStyle="1" w:styleId="SubHeading1">
    <w:name w:val="SubHeading1"/>
    <w:basedOn w:val="HeadingBase"/>
    <w:rsid w:val="004D1F87"/>
    <w:pPr>
      <w:spacing w:before="240" w:after="60"/>
    </w:pPr>
    <w:rPr>
      <w:color w:val="918585"/>
      <w:sz w:val="22"/>
    </w:rPr>
  </w:style>
  <w:style w:type="paragraph" w:customStyle="1" w:styleId="SideHeading">
    <w:name w:val="Side Heading"/>
    <w:basedOn w:val="HeadingBase"/>
    <w:rsid w:val="004D1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F87"/>
    <w:pPr>
      <w:tabs>
        <w:tab w:val="num" w:pos="360"/>
      </w:tabs>
    </w:pPr>
  </w:style>
  <w:style w:type="paragraph" w:styleId="PlainText">
    <w:name w:val="Plain Text"/>
    <w:basedOn w:val="Normal"/>
    <w:link w:val="PlainTextChar"/>
    <w:rsid w:val="004D1F87"/>
    <w:rPr>
      <w:sz w:val="20"/>
    </w:rPr>
  </w:style>
  <w:style w:type="character" w:customStyle="1" w:styleId="PlainTextChar">
    <w:name w:val="Plain Text Char"/>
    <w:basedOn w:val="DefaultParagraphFont"/>
    <w:link w:val="PlainText"/>
    <w:rsid w:val="004D1F87"/>
    <w:rPr>
      <w:rFonts w:ascii="Courier New" w:eastAsia="Times New Roman" w:hAnsi="Courier New" w:cs="Times New Roman"/>
      <w:sz w:val="20"/>
      <w:szCs w:val="20"/>
      <w:lang w:eastAsia="en-US"/>
    </w:rPr>
  </w:style>
  <w:style w:type="character" w:customStyle="1" w:styleId="MenuOption">
    <w:name w:val="Menu Option"/>
    <w:basedOn w:val="DefaultParagraphFont"/>
    <w:rsid w:val="004D1F87"/>
    <w:rPr>
      <w:b/>
      <w:smallCaps/>
    </w:rPr>
  </w:style>
  <w:style w:type="paragraph" w:customStyle="1" w:styleId="TableListNumber">
    <w:name w:val="Table List Number"/>
    <w:basedOn w:val="ListNumber"/>
    <w:rsid w:val="004D1F87"/>
    <w:pPr>
      <w:numPr>
        <w:numId w:val="0"/>
      </w:numPr>
    </w:pPr>
  </w:style>
  <w:style w:type="paragraph" w:styleId="TOC4">
    <w:name w:val="toc 4"/>
    <w:basedOn w:val="TOCBase"/>
    <w:next w:val="Normal"/>
    <w:semiHidden/>
    <w:rsid w:val="004D1F87"/>
    <w:pPr>
      <w:tabs>
        <w:tab w:val="right" w:leader="dot" w:pos="9071"/>
      </w:tabs>
      <w:ind w:left="1701"/>
    </w:pPr>
  </w:style>
  <w:style w:type="paragraph" w:customStyle="1" w:styleId="ListAlpha">
    <w:name w:val="List Alpha"/>
    <w:basedOn w:val="List"/>
    <w:rsid w:val="004D1F87"/>
    <w:pPr>
      <w:numPr>
        <w:numId w:val="9"/>
      </w:numPr>
    </w:pPr>
  </w:style>
  <w:style w:type="paragraph" w:customStyle="1" w:styleId="ListAlpha2">
    <w:name w:val="List Alpha 2"/>
    <w:basedOn w:val="List2"/>
    <w:rsid w:val="004D1F87"/>
    <w:pPr>
      <w:numPr>
        <w:numId w:val="8"/>
      </w:numPr>
    </w:pPr>
  </w:style>
  <w:style w:type="paragraph" w:styleId="List2">
    <w:name w:val="List 2"/>
    <w:basedOn w:val="BodyText"/>
    <w:rsid w:val="004D1F87"/>
    <w:pPr>
      <w:tabs>
        <w:tab w:val="left" w:pos="680"/>
      </w:tabs>
      <w:spacing w:before="60" w:after="60"/>
      <w:ind w:left="680" w:hanging="340"/>
    </w:pPr>
  </w:style>
  <w:style w:type="paragraph" w:styleId="List3">
    <w:name w:val="List 3"/>
    <w:basedOn w:val="BodyText"/>
    <w:rsid w:val="004D1F87"/>
    <w:pPr>
      <w:tabs>
        <w:tab w:val="left" w:pos="1021"/>
      </w:tabs>
      <w:spacing w:before="60" w:after="60"/>
      <w:ind w:left="1020" w:hanging="340"/>
    </w:pPr>
  </w:style>
  <w:style w:type="paragraph" w:styleId="List4">
    <w:name w:val="List 4"/>
    <w:basedOn w:val="BodyText"/>
    <w:rsid w:val="004D1F87"/>
    <w:pPr>
      <w:tabs>
        <w:tab w:val="left" w:pos="1361"/>
      </w:tabs>
      <w:spacing w:before="60" w:after="60"/>
      <w:ind w:left="1361" w:hanging="340"/>
    </w:pPr>
  </w:style>
  <w:style w:type="paragraph" w:styleId="List5">
    <w:name w:val="List 5"/>
    <w:basedOn w:val="BodyText"/>
    <w:rsid w:val="004D1F87"/>
    <w:pPr>
      <w:tabs>
        <w:tab w:val="left" w:pos="1701"/>
      </w:tabs>
      <w:spacing w:before="60" w:after="60"/>
      <w:ind w:left="1701" w:hanging="340"/>
    </w:pPr>
  </w:style>
  <w:style w:type="paragraph" w:styleId="ListBullet3">
    <w:name w:val="List Bullet 3"/>
    <w:basedOn w:val="List3"/>
    <w:rsid w:val="004D1F87"/>
    <w:pPr>
      <w:numPr>
        <w:numId w:val="14"/>
      </w:numPr>
      <w:tabs>
        <w:tab w:val="clear" w:pos="1021"/>
      </w:tabs>
      <w:ind w:left="1037" w:hanging="357"/>
    </w:pPr>
  </w:style>
  <w:style w:type="paragraph" w:styleId="ListBullet4">
    <w:name w:val="List Bullet 4"/>
    <w:basedOn w:val="List4"/>
    <w:rsid w:val="004D1F87"/>
    <w:pPr>
      <w:numPr>
        <w:numId w:val="3"/>
      </w:numPr>
      <w:tabs>
        <w:tab w:val="clear" w:pos="1361"/>
      </w:tabs>
    </w:pPr>
  </w:style>
  <w:style w:type="paragraph" w:styleId="ListBullet5">
    <w:name w:val="List Bullet 5"/>
    <w:basedOn w:val="List5"/>
    <w:rsid w:val="004D1F87"/>
    <w:pPr>
      <w:numPr>
        <w:numId w:val="4"/>
      </w:numPr>
    </w:pPr>
  </w:style>
  <w:style w:type="paragraph" w:styleId="ListContinue2">
    <w:name w:val="List Continue 2"/>
    <w:basedOn w:val="List2"/>
    <w:rsid w:val="004D1F87"/>
    <w:pPr>
      <w:ind w:firstLine="0"/>
    </w:pPr>
  </w:style>
  <w:style w:type="paragraph" w:styleId="ListContinue3">
    <w:name w:val="List Continue 3"/>
    <w:basedOn w:val="List3"/>
    <w:rsid w:val="004D1F87"/>
    <w:pPr>
      <w:ind w:left="1021" w:firstLine="0"/>
    </w:pPr>
  </w:style>
  <w:style w:type="paragraph" w:styleId="ListContinue4">
    <w:name w:val="List Continue 4"/>
    <w:basedOn w:val="List4"/>
    <w:rsid w:val="004D1F87"/>
    <w:pPr>
      <w:ind w:firstLine="0"/>
    </w:pPr>
  </w:style>
  <w:style w:type="paragraph" w:styleId="ListContinue5">
    <w:name w:val="List Continue 5"/>
    <w:basedOn w:val="List5"/>
    <w:rsid w:val="004D1F87"/>
    <w:pPr>
      <w:ind w:firstLine="0"/>
    </w:pPr>
  </w:style>
  <w:style w:type="paragraph" w:styleId="ListNumber3">
    <w:name w:val="List Number 3"/>
    <w:basedOn w:val="List3"/>
    <w:rsid w:val="004D1F87"/>
    <w:pPr>
      <w:numPr>
        <w:numId w:val="5"/>
      </w:numPr>
    </w:pPr>
  </w:style>
  <w:style w:type="paragraph" w:styleId="ListNumber4">
    <w:name w:val="List Number 4"/>
    <w:basedOn w:val="List4"/>
    <w:rsid w:val="004D1F87"/>
    <w:pPr>
      <w:numPr>
        <w:numId w:val="6"/>
      </w:numPr>
    </w:pPr>
  </w:style>
  <w:style w:type="paragraph" w:styleId="ListNumber5">
    <w:name w:val="List Number 5"/>
    <w:basedOn w:val="List5"/>
    <w:rsid w:val="004D1F87"/>
    <w:pPr>
      <w:numPr>
        <w:numId w:val="7"/>
      </w:numPr>
    </w:pPr>
  </w:style>
  <w:style w:type="paragraph" w:styleId="BlockText">
    <w:name w:val="Block Text"/>
    <w:basedOn w:val="Normal"/>
    <w:rsid w:val="004D1F87"/>
    <w:pPr>
      <w:spacing w:after="120"/>
      <w:ind w:left="1440" w:right="1440"/>
    </w:pPr>
  </w:style>
  <w:style w:type="character" w:customStyle="1" w:styleId="Subscript">
    <w:name w:val="Subscript"/>
    <w:basedOn w:val="DefaultParagraphFont"/>
    <w:rsid w:val="004D1F87"/>
    <w:rPr>
      <w:sz w:val="16"/>
      <w:vertAlign w:val="subscript"/>
    </w:rPr>
  </w:style>
  <w:style w:type="character" w:customStyle="1" w:styleId="Superscript">
    <w:name w:val="Superscript"/>
    <w:basedOn w:val="DefaultParagraphFont"/>
    <w:rsid w:val="004D1F87"/>
    <w:rPr>
      <w:sz w:val="16"/>
      <w:vertAlign w:val="superscript"/>
    </w:rPr>
  </w:style>
  <w:style w:type="character" w:customStyle="1" w:styleId="Symbols">
    <w:name w:val="Symbols"/>
    <w:basedOn w:val="DefaultParagraphFont"/>
    <w:rsid w:val="004D1F87"/>
    <w:rPr>
      <w:rFonts w:ascii="Symbol" w:hAnsi="Symbol"/>
    </w:rPr>
  </w:style>
  <w:style w:type="character" w:customStyle="1" w:styleId="MenuOptions">
    <w:name w:val="Menu Options"/>
    <w:basedOn w:val="DefaultParagraphFont"/>
    <w:rsid w:val="004D1F87"/>
    <w:rPr>
      <w:rFonts w:ascii="Arial Narrow" w:hAnsi="Arial Narrow"/>
      <w:smallCaps/>
    </w:rPr>
  </w:style>
  <w:style w:type="character" w:customStyle="1" w:styleId="Buttons">
    <w:name w:val="Buttons"/>
    <w:basedOn w:val="DefaultParagraphFont"/>
    <w:rsid w:val="004D1F87"/>
    <w:rPr>
      <w:b/>
    </w:rPr>
  </w:style>
  <w:style w:type="character" w:customStyle="1" w:styleId="Underlined">
    <w:name w:val="Underlined"/>
    <w:basedOn w:val="DefaultParagraphFont"/>
    <w:rsid w:val="004D1F87"/>
    <w:rPr>
      <w:u w:val="single"/>
    </w:rPr>
  </w:style>
  <w:style w:type="paragraph" w:customStyle="1" w:styleId="TableBodyTextRight">
    <w:name w:val="Table Body Text Right"/>
    <w:basedOn w:val="TableBodyText"/>
    <w:rsid w:val="004D1F87"/>
    <w:pPr>
      <w:widowControl w:val="0"/>
      <w:autoSpaceDE w:val="0"/>
      <w:autoSpaceDN w:val="0"/>
      <w:adjustRightInd w:val="0"/>
      <w:jc w:val="right"/>
    </w:pPr>
    <w:rPr>
      <w:rFonts w:cs="Arial"/>
      <w:szCs w:val="18"/>
    </w:rPr>
  </w:style>
  <w:style w:type="paragraph" w:customStyle="1" w:styleId="CopyrightText">
    <w:name w:val="Copyright Text"/>
    <w:basedOn w:val="BodyText"/>
    <w:rsid w:val="004D1F87"/>
    <w:rPr>
      <w:sz w:val="18"/>
    </w:rPr>
  </w:style>
  <w:style w:type="paragraph" w:customStyle="1" w:styleId="BodySmallRight">
    <w:name w:val="Body Small Right"/>
    <w:basedOn w:val="BodyTextRight"/>
    <w:rsid w:val="004D1F87"/>
    <w:rPr>
      <w:sz w:val="18"/>
      <w:szCs w:val="18"/>
    </w:rPr>
  </w:style>
  <w:style w:type="paragraph" w:customStyle="1" w:styleId="MarginEdition">
    <w:name w:val="Margin Edition"/>
    <w:basedOn w:val="MarginNote"/>
    <w:rsid w:val="004D1F87"/>
    <w:pPr>
      <w:spacing w:before="0" w:after="0"/>
    </w:pPr>
    <w:rPr>
      <w:rFonts w:ascii="Times New Roman" w:hAnsi="Times New Roman"/>
      <w:color w:val="999999"/>
    </w:rPr>
  </w:style>
  <w:style w:type="paragraph" w:customStyle="1" w:styleId="Spacer">
    <w:name w:val="Spacer"/>
    <w:basedOn w:val="Normal"/>
    <w:rsid w:val="004D1F87"/>
    <w:rPr>
      <w:sz w:val="2"/>
      <w:szCs w:val="2"/>
    </w:rPr>
  </w:style>
  <w:style w:type="character" w:customStyle="1" w:styleId="Small">
    <w:name w:val="Small"/>
    <w:basedOn w:val="DefaultParagraphFont"/>
    <w:rsid w:val="004D1F87"/>
    <w:rPr>
      <w:sz w:val="16"/>
    </w:rPr>
  </w:style>
  <w:style w:type="paragraph" w:customStyle="1" w:styleId="WideTable">
    <w:name w:val="Wide Table"/>
    <w:basedOn w:val="Normal"/>
    <w:rsid w:val="004D1F87"/>
    <w:pPr>
      <w:ind w:left="-1418"/>
    </w:pPr>
    <w:rPr>
      <w:sz w:val="2"/>
      <w:szCs w:val="2"/>
    </w:rPr>
  </w:style>
  <w:style w:type="character" w:styleId="PageNumber">
    <w:name w:val="page number"/>
    <w:basedOn w:val="DefaultParagraphFont"/>
    <w:rsid w:val="004D1F87"/>
  </w:style>
  <w:style w:type="paragraph" w:styleId="Quote">
    <w:name w:val="Quote"/>
    <w:basedOn w:val="Heading1"/>
    <w:link w:val="QuoteChar"/>
    <w:qFormat/>
    <w:rsid w:val="004D1F87"/>
    <w:rPr>
      <w:b w:val="0"/>
      <w:sz w:val="72"/>
      <w:szCs w:val="72"/>
      <w:lang w:val="en-NZ"/>
    </w:rPr>
  </w:style>
  <w:style w:type="character" w:customStyle="1" w:styleId="QuoteChar">
    <w:name w:val="Quote Char"/>
    <w:basedOn w:val="DefaultParagraphFont"/>
    <w:link w:val="Quote"/>
    <w:rsid w:val="004D1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F87"/>
    <w:pPr>
      <w:pageBreakBefore/>
    </w:pPr>
  </w:style>
  <w:style w:type="paragraph" w:customStyle="1" w:styleId="Border">
    <w:name w:val="Border"/>
    <w:basedOn w:val="Normal"/>
    <w:qFormat/>
    <w:rsid w:val="004D1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F87"/>
    <w:rPr>
      <w:b/>
      <w:bCs/>
      <w:i/>
      <w:iCs/>
      <w:color w:val="auto"/>
    </w:rPr>
  </w:style>
  <w:style w:type="paragraph" w:styleId="IntenseQuote">
    <w:name w:val="Intense Quote"/>
    <w:basedOn w:val="Normal"/>
    <w:next w:val="Normal"/>
    <w:link w:val="IntenseQuoteChar"/>
    <w:uiPriority w:val="30"/>
    <w:qFormat/>
    <w:rsid w:val="004D1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F87"/>
    <w:rPr>
      <w:smallCaps/>
      <w:color w:val="auto"/>
      <w:u w:val="single"/>
    </w:rPr>
  </w:style>
  <w:style w:type="character" w:styleId="IntenseReference">
    <w:name w:val="Intense Reference"/>
    <w:basedOn w:val="DefaultParagraphFont"/>
    <w:uiPriority w:val="32"/>
    <w:qFormat/>
    <w:rsid w:val="004D1F87"/>
    <w:rPr>
      <w:b/>
      <w:bCs/>
      <w:smallCaps/>
      <w:color w:val="auto"/>
      <w:spacing w:val="5"/>
      <w:u w:val="single"/>
    </w:rPr>
  </w:style>
  <w:style w:type="paragraph" w:customStyle="1" w:styleId="2ColumnHeading">
    <w:name w:val="2Column Heading"/>
    <w:basedOn w:val="BodyText"/>
    <w:qFormat/>
    <w:rsid w:val="004D1F87"/>
    <w:pPr>
      <w:spacing w:after="60"/>
      <w:ind w:left="-2268"/>
    </w:pPr>
    <w:rPr>
      <w:b/>
    </w:rPr>
  </w:style>
  <w:style w:type="paragraph" w:customStyle="1" w:styleId="Heading1TOC">
    <w:name w:val="Heading1 TOC"/>
    <w:basedOn w:val="Normal"/>
    <w:qFormat/>
    <w:rsid w:val="004D1F87"/>
    <w:pPr>
      <w:spacing w:before="240" w:after="120"/>
    </w:pPr>
    <w:rPr>
      <w:rFonts w:ascii="Times New Roman" w:hAnsi="Times New Roman"/>
      <w:b/>
      <w:sz w:val="32"/>
    </w:rPr>
  </w:style>
  <w:style w:type="paragraph" w:customStyle="1" w:styleId="Heading2TOC">
    <w:name w:val="Heading2 TOC"/>
    <w:basedOn w:val="Normal"/>
    <w:qFormat/>
    <w:rsid w:val="004D1F87"/>
    <w:pPr>
      <w:spacing w:before="240" w:after="60"/>
    </w:pPr>
    <w:rPr>
      <w:rFonts w:ascii="Times New Roman" w:hAnsi="Times New Roman"/>
      <w:b/>
      <w:sz w:val="28"/>
    </w:rPr>
  </w:style>
  <w:style w:type="character" w:customStyle="1" w:styleId="Underline">
    <w:name w:val="Underline"/>
    <w:basedOn w:val="DefaultParagraphFont"/>
    <w:qFormat/>
    <w:rsid w:val="004D1F87"/>
    <w:rPr>
      <w:u w:val="single"/>
    </w:rPr>
  </w:style>
  <w:style w:type="character" w:customStyle="1" w:styleId="BoldandItalics">
    <w:name w:val="Bold and Italics"/>
    <w:qFormat/>
    <w:rsid w:val="004D1F87"/>
    <w:rPr>
      <w:b/>
      <w:i/>
      <w:u w:val="none"/>
    </w:rPr>
  </w:style>
  <w:style w:type="paragraph" w:styleId="BalloonText">
    <w:name w:val="Balloon Text"/>
    <w:basedOn w:val="Normal"/>
    <w:link w:val="BalloonTextChar"/>
    <w:rsid w:val="004D1F87"/>
    <w:rPr>
      <w:rFonts w:ascii="Tahoma" w:hAnsi="Tahoma" w:cs="Tahoma"/>
      <w:sz w:val="16"/>
      <w:szCs w:val="16"/>
    </w:rPr>
  </w:style>
  <w:style w:type="character" w:customStyle="1" w:styleId="BalloonTextChar">
    <w:name w:val="Balloon Text Char"/>
    <w:basedOn w:val="DefaultParagraphFont"/>
    <w:link w:val="BalloonText"/>
    <w:rsid w:val="004D1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F87"/>
    <w:rPr>
      <w:b/>
      <w:color w:val="660033"/>
      <w:spacing w:val="0"/>
    </w:rPr>
  </w:style>
  <w:style w:type="paragraph" w:customStyle="1" w:styleId="Nameditemlist">
    <w:name w:val="Named item list"/>
    <w:basedOn w:val="BodyText"/>
    <w:qFormat/>
    <w:rsid w:val="004D1F87"/>
    <w:pPr>
      <w:tabs>
        <w:tab w:val="left" w:pos="2835"/>
      </w:tabs>
      <w:ind w:left="2835" w:hanging="2835"/>
    </w:pPr>
  </w:style>
  <w:style w:type="paragraph" w:customStyle="1" w:styleId="BodyTextnopadding">
    <w:name w:val="Body Text no padding"/>
    <w:basedOn w:val="BodyText"/>
    <w:qFormat/>
    <w:rsid w:val="004D1F87"/>
    <w:pPr>
      <w:spacing w:before="0" w:after="0"/>
    </w:pPr>
  </w:style>
  <w:style w:type="paragraph" w:customStyle="1" w:styleId="BodyTextBold">
    <w:name w:val="Body Text Bold"/>
    <w:basedOn w:val="BodyText"/>
    <w:qFormat/>
    <w:rsid w:val="004D1F87"/>
    <w:rPr>
      <w:b/>
    </w:rPr>
  </w:style>
  <w:style w:type="character" w:styleId="Hyperlink">
    <w:name w:val="Hyperlink"/>
    <w:basedOn w:val="DefaultParagraphFont"/>
    <w:uiPriority w:val="99"/>
    <w:unhideWhenUsed/>
    <w:rsid w:val="00A95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1555</Words>
  <Characters>10372</Characters>
  <Application>Microsoft Office Word</Application>
  <DocSecurity>0</DocSecurity>
  <Lines>345</Lines>
  <Paragraphs>178</Paragraphs>
  <ScaleCrop>false</ScaleCrop>
  <Company>Author-it Software Corporation Ltd.</Company>
  <LinksUpToDate>false</LinksUpToDate>
  <CharactersWithSpaces>11749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UETTDRSB36 Commission discrete control and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2025-03-01T10:49:00Z</dcterms:created>
  <dcterms:modified xsi:type="dcterms:W3CDTF">2025-03-01T10:49:00Z</dcterms:modified>
</cp:coreProperties>
</file>