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98A" w:rsidP="006C4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UETTDRSB35 Maintain discrete control and protection systems</w:t>
      </w:r>
      <w:r>
        <w:fldChar w:fldCharType="end"/>
      </w:r>
    </w:p>
    <w:p w:rsidR="006C498A" w:rsidP="006C498A">
      <w:pPr>
        <w:pStyle w:val="Version"/>
        <w:sectPr w:rsidSect="002E0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54F" w:rsidP="002E054F">
      <w:pPr>
        <w:pStyle w:val="SuperHeading"/>
      </w:pPr>
      <w:r w:rsidRPr="002E054F">
        <w:t>Assessment Requirements for UETTDRSB35 Maintain discrete control and protection systems</w:t>
      </w:r>
    </w:p>
    <w:p w:rsidR="00000000" w:rsidRPr="002E054F" w:rsidP="002E054F">
      <w:pPr>
        <w:pStyle w:val="Heading1"/>
      </w:pPr>
      <w:bookmarkStart w:id="1" w:name="O_1004692"/>
      <w:bookmarkEnd w:id="1"/>
      <w:r w:rsidRPr="002E05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4F" w:rsidP="002E054F">
            <w:pPr>
              <w:pStyle w:val="BodyText"/>
            </w:pPr>
            <w:r w:rsidRPr="002E054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E054F" w:rsidP="002E054F">
      <w:pPr>
        <w:pStyle w:val="NoPaddingFontSize1"/>
      </w:pPr>
    </w:p>
    <w:p w:rsidR="00000000" w:rsidRPr="002E054F" w:rsidP="002E054F">
      <w:pPr>
        <w:pStyle w:val="AllowPageBreak"/>
      </w:pPr>
    </w:p>
    <w:p w:rsidR="00000000" w:rsidRPr="002E054F" w:rsidP="002E054F">
      <w:pPr>
        <w:pStyle w:val="Heading1"/>
      </w:pPr>
      <w:bookmarkStart w:id="2" w:name="O_1004693"/>
      <w:bookmarkEnd w:id="2"/>
      <w:r w:rsidRPr="002E05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4F">
            <w:pPr>
              <w:pStyle w:val="BodyText"/>
              <w:rPr>
                <w:lang w:val="en-NZ"/>
              </w:rPr>
            </w:pPr>
            <w:r w:rsidRPr="002E054F">
              <w:t>Evidence required to demonstrate competence in this unit must be relevant to a</w:t>
            </w:r>
            <w:r w:rsidRPr="002E054F">
              <w:t xml:space="preserve">nd satisfy all of the requirements of the elements and performance criteria on at least two separate occasions and include:  </w:t>
            </w:r>
          </w:p>
        </w:tc>
      </w:tr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4F" w:rsidP="002E054F">
            <w:pPr>
              <w:pStyle w:val="ListBullet"/>
            </w:pPr>
            <w:r w:rsidRPr="002E054F">
              <w:t>applying relevant work health and safety (WHS)/occupational health and safety (OHS) requirements, including the use of risk cont</w:t>
            </w:r>
            <w:r w:rsidRPr="002E054F">
              <w:t xml:space="preserve">rol measures </w:t>
            </w:r>
          </w:p>
          <w:p w:rsidR="00000000" w:rsidRPr="002E054F" w:rsidP="002E054F">
            <w:pPr>
              <w:pStyle w:val="ListBullet"/>
            </w:pPr>
            <w:r w:rsidRPr="002E054F">
              <w:t>applying sustainable energy principles and practices</w:t>
            </w:r>
          </w:p>
          <w:p w:rsidR="00000000" w:rsidRPr="002E054F" w:rsidP="002E054F">
            <w:pPr>
              <w:pStyle w:val="ListBullet"/>
            </w:pPr>
            <w:r w:rsidRPr="002E054F">
              <w:t>undertaking functional checks and testing of discrete control and protection devices including all of the following:</w:t>
            </w:r>
          </w:p>
          <w:p w:rsidR="00000000" w:rsidRPr="002E054F" w:rsidP="002E054F">
            <w:pPr>
              <w:pStyle w:val="ListBullet2"/>
            </w:pPr>
            <w:r w:rsidRPr="002E054F">
              <w:t>isolate discrete protection</w:t>
            </w:r>
          </w:p>
          <w:p w:rsidR="00000000" w:rsidRPr="002E054F" w:rsidP="002E054F">
            <w:pPr>
              <w:pStyle w:val="ListBullet2"/>
            </w:pPr>
            <w:r w:rsidRPr="002E054F">
              <w:t>control and indications</w:t>
            </w:r>
          </w:p>
          <w:p w:rsidR="00000000" w:rsidRPr="002E054F" w:rsidP="002E054F">
            <w:pPr>
              <w:pStyle w:val="ListBullet2"/>
            </w:pPr>
            <w:r w:rsidRPr="002E054F">
              <w:t>overcurrent and earth fault relays</w:t>
            </w:r>
          </w:p>
          <w:p w:rsidR="00000000" w:rsidRPr="002E054F" w:rsidP="002E054F">
            <w:pPr>
              <w:pStyle w:val="ListBullet2"/>
            </w:pPr>
            <w:r w:rsidRPr="002E054F">
              <w:t>direct current (d.c.) supplies</w:t>
            </w:r>
          </w:p>
          <w:p w:rsidR="00000000" w:rsidRPr="002E054F" w:rsidP="002E054F">
            <w:pPr>
              <w:pStyle w:val="ListBullet2"/>
            </w:pPr>
            <w:r w:rsidRPr="002E054F">
              <w:t>trip and control circuits</w:t>
            </w:r>
          </w:p>
          <w:p w:rsidR="00000000" w:rsidRPr="002E054F" w:rsidP="002E054F">
            <w:pPr>
              <w:pStyle w:val="ListBullet2"/>
            </w:pPr>
            <w:r w:rsidRPr="002E054F">
              <w:t>alarms and indications</w:t>
            </w:r>
          </w:p>
          <w:p w:rsidR="00000000" w:rsidRPr="002E054F" w:rsidP="002E054F">
            <w:pPr>
              <w:pStyle w:val="ListBullet2"/>
            </w:pPr>
            <w:r w:rsidRPr="002E054F">
              <w:t>function test of discrete devices</w:t>
            </w:r>
          </w:p>
          <w:p w:rsidR="00000000" w:rsidRPr="002E054F" w:rsidP="002E054F">
            <w:pPr>
              <w:pStyle w:val="ListBullet"/>
            </w:pPr>
            <w:r w:rsidRPr="002E054F">
              <w:t>inspecting discrete control and protection devices including at least three (3) of the following:</w:t>
            </w:r>
          </w:p>
          <w:p w:rsidR="00000000" w:rsidRPr="002E054F" w:rsidP="002E054F">
            <w:pPr>
              <w:pStyle w:val="ListBullet2"/>
            </w:pPr>
            <w:r w:rsidRPr="002E054F">
              <w:t>neutral</w:t>
            </w:r>
            <w:r w:rsidRPr="002E054F">
              <w:t xml:space="preserve"> displacement</w:t>
            </w:r>
          </w:p>
          <w:p w:rsidR="00000000" w:rsidRPr="002E054F" w:rsidP="002E054F">
            <w:pPr>
              <w:pStyle w:val="ListBullet2"/>
            </w:pPr>
            <w:r w:rsidRPr="002E054F">
              <w:t>no-volt changeover</w:t>
            </w:r>
          </w:p>
          <w:p w:rsidR="00000000" w:rsidRPr="002E054F" w:rsidP="002E054F">
            <w:pPr>
              <w:pStyle w:val="ListBullet2"/>
            </w:pPr>
            <w:r w:rsidRPr="002E054F">
              <w:t>discrete auto-reclose</w:t>
            </w:r>
          </w:p>
          <w:p w:rsidR="00000000" w:rsidRPr="002E054F" w:rsidP="002E054F">
            <w:pPr>
              <w:pStyle w:val="ListBullet2"/>
            </w:pPr>
            <w:r w:rsidRPr="002E054F">
              <w:t>d.c. frame leakage</w:t>
            </w:r>
          </w:p>
          <w:p w:rsidR="00000000" w:rsidRPr="002E054F" w:rsidP="002E054F">
            <w:pPr>
              <w:pStyle w:val="ListBullet2"/>
            </w:pPr>
            <w:r w:rsidRPr="002E054F">
              <w:t>oil surge (site maintenance)</w:t>
            </w:r>
          </w:p>
          <w:p w:rsidR="00000000" w:rsidRPr="002E054F" w:rsidP="002E054F">
            <w:pPr>
              <w:pStyle w:val="ListBullet2"/>
            </w:pPr>
            <w:r w:rsidRPr="002E054F">
              <w:t>voltage regulation</w:t>
            </w:r>
          </w:p>
          <w:p w:rsidR="00000000" w:rsidRPr="002E054F" w:rsidP="002E054F">
            <w:pPr>
              <w:pStyle w:val="ListBullet2"/>
            </w:pPr>
            <w:r w:rsidRPr="002E054F">
              <w:t>parallel operation</w:t>
            </w:r>
          </w:p>
          <w:p w:rsidR="00000000" w:rsidRPr="002E054F" w:rsidP="002E054F">
            <w:pPr>
              <w:pStyle w:val="ListBullet2"/>
            </w:pPr>
            <w:r w:rsidRPr="002E054F">
              <w:t>thermal overloads</w:t>
            </w:r>
          </w:p>
          <w:p w:rsidR="00000000" w:rsidRPr="002E054F" w:rsidP="002E054F">
            <w:pPr>
              <w:pStyle w:val="ListBullet2"/>
            </w:pPr>
            <w:r w:rsidRPr="002E054F">
              <w:t>transformer temperature control devices</w:t>
            </w:r>
          </w:p>
          <w:p w:rsidR="00000000" w:rsidRPr="002E054F" w:rsidP="002E054F">
            <w:pPr>
              <w:pStyle w:val="ListBullet2"/>
            </w:pPr>
            <w:r w:rsidRPr="002E054F">
              <w:t>CEL fail</w:t>
            </w:r>
          </w:p>
          <w:p w:rsidR="00000000" w:rsidRPr="002E054F" w:rsidP="002E054F">
            <w:pPr>
              <w:pStyle w:val="ListBullet"/>
            </w:pPr>
            <w:r w:rsidRPr="002E054F">
              <w:t>dealing with unplanned events on at least one (1) occasion.</w:t>
            </w:r>
          </w:p>
        </w:tc>
      </w:tr>
    </w:tbl>
    <w:p w:rsidR="00000000" w:rsidRPr="002E054F" w:rsidP="002E054F">
      <w:pPr>
        <w:pStyle w:val="NoPaddingFontSize1"/>
      </w:pPr>
    </w:p>
    <w:p w:rsidR="00000000" w:rsidRPr="002E054F" w:rsidP="002E054F">
      <w:pPr>
        <w:pStyle w:val="AllowPageBreak"/>
      </w:pPr>
    </w:p>
    <w:p w:rsidR="00000000" w:rsidRPr="002E054F" w:rsidP="002E054F">
      <w:pPr>
        <w:pStyle w:val="Heading1"/>
      </w:pPr>
      <w:bookmarkStart w:id="3" w:name="O_1004694"/>
      <w:bookmarkEnd w:id="3"/>
      <w:r w:rsidRPr="002E05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4F">
            <w:pPr>
              <w:pStyle w:val="BodyText"/>
              <w:rPr>
                <w:lang w:val="en-NZ"/>
              </w:rPr>
            </w:pPr>
            <w:r w:rsidRPr="002E054F">
              <w:t xml:space="preserve">Evidence required to demonstrate competence in this unit must be relevant to and satisfy all of the requirements of the elements and performance </w:t>
            </w:r>
            <w:r w:rsidRPr="002E054F">
              <w:t>criteria and include knowledge of:</w:t>
            </w:r>
          </w:p>
        </w:tc>
      </w:tr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4F" w:rsidP="002E054F">
            <w:pPr>
              <w:pStyle w:val="ListBullet"/>
            </w:pPr>
            <w:r w:rsidRPr="002E054F">
              <w:t>principles of statutory and safety considerations encompassing:</w:t>
            </w:r>
          </w:p>
          <w:p w:rsidR="00000000" w:rsidRPr="002E054F" w:rsidP="002E054F">
            <w:pPr>
              <w:pStyle w:val="ListBullet2"/>
            </w:pPr>
            <w:r w:rsidRPr="002E054F">
              <w:t>Commonwealth/state/territory legislation, standards, codes, supply authority regulations and/or enterprise requirements associated with working on high vo</w:t>
            </w:r>
            <w:r w:rsidRPr="002E054F">
              <w:t>ltage (HV)</w:t>
            </w:r>
          </w:p>
          <w:p w:rsidR="00000000" w:rsidRPr="002E054F" w:rsidP="002E054F">
            <w:pPr>
              <w:pStyle w:val="ListBullet2"/>
            </w:pPr>
            <w:r w:rsidRPr="002E054F">
              <w:t>particular reference to state and territory regulations - working near energised conductors, electrical access, heights, confined space, testing procedures and licensing rules</w:t>
            </w:r>
          </w:p>
          <w:p w:rsidR="00000000" w:rsidRPr="002E054F" w:rsidP="002E054F">
            <w:pPr>
              <w:pStyle w:val="ListBullet"/>
            </w:pPr>
            <w:r w:rsidRPr="002E054F">
              <w:t>principles of isolation and tagging procedures associated with prote</w:t>
            </w:r>
            <w:r w:rsidRPr="002E054F">
              <w:t>ction testing encompassing:</w:t>
            </w:r>
          </w:p>
          <w:p w:rsidR="00000000" w:rsidRPr="002E054F" w:rsidP="002E054F">
            <w:pPr>
              <w:pStyle w:val="ListBullet2"/>
            </w:pPr>
            <w:r w:rsidRPr="002E054F">
              <w:t>standards, codes, Commonwealth/state/territory legislation, supply authority regulations and/or enterprise requirements associated with the installation, maintenance, isolation and tagging procedures</w:t>
            </w:r>
          </w:p>
          <w:p w:rsidR="00000000" w:rsidRPr="002E054F" w:rsidP="002E054F">
            <w:pPr>
              <w:pStyle w:val="ListBullet2"/>
            </w:pPr>
            <w:r w:rsidRPr="002E054F">
              <w:t>requirements for the use of</w:t>
            </w:r>
            <w:r w:rsidRPr="002E054F">
              <w:t xml:space="preserve"> isolation and tagging, manuals, system diagrams/plans and drawings</w:t>
            </w:r>
          </w:p>
          <w:p w:rsidR="00000000" w:rsidRPr="002E054F" w:rsidP="002E054F">
            <w:pPr>
              <w:pStyle w:val="ListBullet2"/>
            </w:pPr>
            <w:r w:rsidRPr="002E054F">
              <w:t>techniques in documenting isolations</w:t>
            </w:r>
          </w:p>
          <w:p w:rsidR="00000000" w:rsidRPr="002E054F" w:rsidP="002E054F">
            <w:pPr>
              <w:pStyle w:val="ListBullet2"/>
            </w:pPr>
            <w:r w:rsidRPr="002E054F">
              <w:t>techniques in appropriate isolation and tagging procedures in accordance with Co</w:t>
            </w:r>
            <w:r w:rsidRPr="002E054F">
              <w:t>mmonwealth/state/territory legislation, supply authority regulations and enterprise standards</w:t>
            </w:r>
          </w:p>
          <w:p w:rsidR="00000000" w:rsidRPr="002E054F" w:rsidP="002E054F">
            <w:pPr>
              <w:pStyle w:val="ListBullet2"/>
            </w:pPr>
            <w:r w:rsidRPr="002E054F">
              <w:t>techniques in the installation and maintenance procedures protection devices in accordance with Commonwealth/state/territory legislation, supply authority regulat</w:t>
            </w:r>
            <w:r w:rsidRPr="002E054F">
              <w:t>ions and enterprise standards</w:t>
            </w:r>
          </w:p>
          <w:p w:rsidR="00000000" w:rsidRPr="002E054F" w:rsidP="002E054F">
            <w:pPr>
              <w:pStyle w:val="ListBullet"/>
            </w:pPr>
            <w:r w:rsidRPr="002E054F">
              <w:t>maintenance procedures associated with discrete protection schemes encompassing:</w:t>
            </w:r>
          </w:p>
          <w:p w:rsidR="00000000" w:rsidRPr="002E054F" w:rsidP="002E054F">
            <w:pPr>
              <w:pStyle w:val="ListBullet2"/>
            </w:pPr>
            <w:r w:rsidRPr="002E054F">
              <w:t>standards, codes, Commonwealth/state/territory legislation, supply authority regulations and/or enterprise requirements associated with the mai</w:t>
            </w:r>
            <w:r w:rsidRPr="002E054F">
              <w:t>ntenance procedures</w:t>
            </w:r>
          </w:p>
          <w:p w:rsidR="00000000" w:rsidRPr="002E054F" w:rsidP="002E054F">
            <w:pPr>
              <w:pStyle w:val="ListBullet2"/>
            </w:pPr>
            <w:r w:rsidRPr="002E054F">
              <w:t>requirements for the use of maintenance manuals, system diagrams/plans and drawings</w:t>
            </w:r>
          </w:p>
          <w:p w:rsidR="00000000" w:rsidRPr="002E054F" w:rsidP="002E054F">
            <w:pPr>
              <w:pStyle w:val="ListBullet2"/>
            </w:pPr>
            <w:r w:rsidRPr="002E054F">
              <w:t>techniques in maintenance procedures – planning, policy and testing techniques</w:t>
            </w:r>
          </w:p>
          <w:p w:rsidR="00000000" w:rsidRPr="002E054F" w:rsidP="002E054F">
            <w:pPr>
              <w:pStyle w:val="ListBullet2"/>
            </w:pPr>
            <w:r w:rsidRPr="002E054F">
              <w:t>close out requirements</w:t>
            </w:r>
          </w:p>
          <w:p w:rsidR="00000000" w:rsidRPr="002E054F" w:rsidP="002E054F">
            <w:pPr>
              <w:pStyle w:val="ListBullet"/>
            </w:pPr>
            <w:r w:rsidRPr="002E054F">
              <w:t>relay manufacturer specifications encompassing:</w:t>
            </w:r>
          </w:p>
          <w:p w:rsidR="00000000" w:rsidRPr="002E054F" w:rsidP="002E054F">
            <w:pPr>
              <w:pStyle w:val="ListBullet2"/>
            </w:pPr>
            <w:r w:rsidRPr="002E054F">
              <w:t>standards, codes, Commonwealth/state/territory and local government legislation, supply authority regulations and/or enterprise requirements applicable to the use and application of relay manufacturer specifications</w:t>
            </w:r>
          </w:p>
          <w:p w:rsidR="00000000" w:rsidRPr="002E054F" w:rsidP="002E054F">
            <w:pPr>
              <w:pStyle w:val="ListBullet2"/>
            </w:pPr>
            <w:r w:rsidRPr="002E054F">
              <w:t>requirements for the use of relay manufa</w:t>
            </w:r>
            <w:r w:rsidRPr="002E054F">
              <w:t>cturer manuals, system diagrams/plans and drawings</w:t>
            </w:r>
          </w:p>
          <w:p w:rsidR="00000000" w:rsidRPr="002E054F" w:rsidP="002E054F">
            <w:pPr>
              <w:pStyle w:val="ListBullet2"/>
            </w:pPr>
            <w:r w:rsidRPr="002E054F">
              <w:t>types, function and characteristics of specific relays - differences between specific relays used for the same functionality</w:t>
            </w:r>
          </w:p>
          <w:p w:rsidR="00000000" w:rsidRPr="002E054F" w:rsidP="002E054F">
            <w:pPr>
              <w:pStyle w:val="ListBullet"/>
            </w:pPr>
            <w:r w:rsidRPr="002E054F">
              <w:t>safe handling and/or disposing of insulation materials used in power distributi</w:t>
            </w:r>
            <w:r w:rsidRPr="002E054F">
              <w:t>on devices, which are potential environmental pollutants, encompassing:</w:t>
            </w:r>
          </w:p>
          <w:p w:rsidR="00000000" w:rsidRPr="002E054F" w:rsidP="002E054F">
            <w:pPr>
              <w:pStyle w:val="ListBullet2"/>
            </w:pPr>
            <w:r w:rsidRPr="002E054F">
              <w:t>standards, codes, Commonwealth/state/territory and local government legislation, supply authority regulations and/or enterprise requirements applicable to the handling and disposing o</w:t>
            </w:r>
            <w:r w:rsidRPr="002E054F">
              <w:t>f insulation or heat dissipation materials used in power distribution devices</w:t>
            </w:r>
          </w:p>
          <w:p w:rsidR="00000000" w:rsidRPr="002E054F" w:rsidP="002E054F">
            <w:pPr>
              <w:pStyle w:val="ListBullet2"/>
            </w:pPr>
            <w:r w:rsidRPr="002E054F">
              <w:t xml:space="preserve">identification of environmental issues associated with the handling and disposing of </w:t>
            </w:r>
            <w:r w:rsidRPr="002E054F">
              <w:t>insulation materials</w:t>
            </w:r>
          </w:p>
          <w:p w:rsidR="00000000" w:rsidRPr="002E054F" w:rsidP="002E054F">
            <w:pPr>
              <w:pStyle w:val="ListBullet2"/>
            </w:pPr>
            <w:r w:rsidRPr="002E054F">
              <w:t>safety precautions when handling and disposing of heat dissipation materials - safe working practices; WHS/OHS hazards and precautions; identification of hazards; assessing and controlling risks; types, selection, maintenance and uses of personnel protecti</w:t>
            </w:r>
            <w:r w:rsidRPr="002E054F">
              <w:t xml:space="preserve">ve equipment (PPE); permit to work systems and isolation procedures; types and function of specialised equipment; safe working practices when using specialised equipment; and emergency response and rescue, including first aid </w:t>
            </w:r>
          </w:p>
          <w:p w:rsidR="00000000" w:rsidRPr="002E054F" w:rsidP="002E054F">
            <w:pPr>
              <w:pStyle w:val="ListBullet2"/>
            </w:pPr>
            <w:r w:rsidRPr="002E054F">
              <w:t>techniques in the handling an</w:t>
            </w:r>
            <w:r w:rsidRPr="002E054F">
              <w:t>d disposing of insulation materials - polychlorinated biphenyls (PCB), asbestos, insulating Oil and sulfur hexafluoride (SF6) gas.</w:t>
            </w:r>
          </w:p>
        </w:tc>
      </w:tr>
    </w:tbl>
    <w:p w:rsidR="00000000" w:rsidRPr="002E054F" w:rsidP="002E054F">
      <w:pPr>
        <w:pStyle w:val="NoPaddingFontSize1"/>
      </w:pPr>
    </w:p>
    <w:p w:rsidR="00000000" w:rsidRPr="002E054F" w:rsidP="002E054F">
      <w:pPr>
        <w:pStyle w:val="AllowPageBreak"/>
      </w:pPr>
    </w:p>
    <w:p w:rsidR="00000000" w:rsidRPr="002E054F" w:rsidP="002E054F">
      <w:pPr>
        <w:pStyle w:val="Heading1"/>
      </w:pPr>
      <w:bookmarkStart w:id="4" w:name="O_1004695"/>
      <w:bookmarkEnd w:id="4"/>
      <w:r w:rsidRPr="002E05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4F" w:rsidP="002E054F">
            <w:pPr>
              <w:pStyle w:val="BodyText"/>
            </w:pPr>
            <w:r w:rsidRPr="002E054F">
              <w:t>Assessors must hold credentials specified within the Standards for Registered Trai</w:t>
            </w:r>
            <w:r w:rsidRPr="002E054F">
              <w:t>ning Organisations current at the time of assessment.</w:t>
            </w:r>
          </w:p>
          <w:p w:rsidR="00000000" w:rsidRPr="002E054F" w:rsidP="002E054F">
            <w:pPr>
              <w:pStyle w:val="BodyText"/>
            </w:pPr>
            <w:r w:rsidRPr="002E054F">
              <w:t>Assessment must satisfy the Principles of Assessment and Rules of Evidence and all regulatory requirements included within the Standards for Registered Training Organisations current at the time of asse</w:t>
            </w:r>
            <w:r w:rsidRPr="002E054F">
              <w:t>ssment.</w:t>
            </w:r>
          </w:p>
          <w:p w:rsidR="00000000" w:rsidRPr="002E054F" w:rsidP="002E054F">
            <w:pPr>
              <w:pStyle w:val="BodyText"/>
            </w:pPr>
            <w:r w:rsidRPr="002E054F">
              <w:t>Assessment must occur in workplace operational situations where it is appropriate to do so; where this is not appropriate, assessment must occur in simulated conditions involving realistic and authentic activities that replicate operational workpla</w:t>
            </w:r>
            <w:r w:rsidRPr="002E054F">
              <w:t>ce conditions.</w:t>
            </w:r>
          </w:p>
          <w:p w:rsidR="00000000" w:rsidRPr="002E054F" w:rsidP="002E054F">
            <w:pPr>
              <w:pStyle w:val="BodyText"/>
            </w:pPr>
            <w:r w:rsidRPr="002E05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E054F" w:rsidP="002E054F">
            <w:pPr>
              <w:pStyle w:val="BodyText"/>
            </w:pPr>
            <w:r w:rsidRPr="002E054F">
              <w:t>Resources for assessment must include access to:</w:t>
            </w:r>
          </w:p>
          <w:p w:rsidR="00000000" w:rsidRPr="002E054F" w:rsidP="002E054F">
            <w:pPr>
              <w:pStyle w:val="ListBullet"/>
            </w:pPr>
            <w:r w:rsidRPr="002E054F">
              <w:t>a range of relevant exe</w:t>
            </w:r>
            <w:r w:rsidRPr="002E054F">
              <w:t>rcises, case studies and/or other simulations</w:t>
            </w:r>
          </w:p>
          <w:p w:rsidR="00000000" w:rsidRPr="002E054F" w:rsidP="002E054F">
            <w:pPr>
              <w:pStyle w:val="ListBullet"/>
            </w:pPr>
            <w:r w:rsidRPr="002E054F">
              <w:t>relevant and appropriate materials, tools, equipment and PPE currently used in industry</w:t>
            </w:r>
          </w:p>
          <w:p w:rsidR="00000000" w:rsidRPr="002E054F" w:rsidP="002E054F">
            <w:pPr>
              <w:pStyle w:val="ListBullet"/>
            </w:pPr>
            <w:r w:rsidRPr="002E054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E054F" w:rsidP="002E054F">
      <w:pPr>
        <w:pStyle w:val="NoPaddingFontSize1"/>
      </w:pPr>
    </w:p>
    <w:p w:rsidR="00000000" w:rsidRPr="002E054F" w:rsidP="002E054F">
      <w:pPr>
        <w:pStyle w:val="AllowPageBreak"/>
      </w:pPr>
    </w:p>
    <w:p w:rsidR="00000000" w:rsidRPr="002E054F" w:rsidP="002E054F">
      <w:pPr>
        <w:pStyle w:val="Heading1"/>
      </w:pPr>
      <w:bookmarkStart w:id="5" w:name="O_1004698"/>
      <w:bookmarkEnd w:id="5"/>
      <w:r w:rsidRPr="002E054F">
        <w:t>Links</w:t>
      </w:r>
    </w:p>
    <w:p w:rsidR="00000000" w:rsidRPr="002E054F" w:rsidP="006C498A">
      <w:pPr>
        <w:pStyle w:val="BodyText"/>
      </w:pPr>
      <w:r w:rsidRPr="002E054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A56D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E054F" w:rsidP="002E054F"/>
    <w:sectPr w:rsidSect="002E0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4F" w:rsidRPr="006C498A" w:rsidP="006C4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8A" w:rsidP="002E0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98A" w:rsidP="002E0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498A" w:rsidP="002E0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54F" w:rsidRPr="006C498A" w:rsidP="006C4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8A" w:rsidRPr="002D2AF8" w:rsidP="002E0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UETTDRSB35 Maintain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C498A" w:rsidP="002E0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82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A6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E3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54F"/>
  </w:style>
  <w:style w:type="character" w:customStyle="1" w:styleId="Heading1Char">
    <w:name w:val="Heading 1 Char"/>
    <w:basedOn w:val="DefaultParagraphFont"/>
    <w:link w:val="Heading1"/>
    <w:rsid w:val="002E0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5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05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0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0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54F"/>
    <w:rPr>
      <w:b/>
      <w:spacing w:val="0"/>
    </w:rPr>
  </w:style>
  <w:style w:type="paragraph" w:customStyle="1" w:styleId="SuperTitle">
    <w:name w:val="SuperTitle"/>
    <w:basedOn w:val="Title"/>
    <w:rsid w:val="002E0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54F"/>
    <w:rPr>
      <w:i/>
    </w:rPr>
  </w:style>
  <w:style w:type="paragraph" w:styleId="Caption">
    <w:name w:val="caption"/>
    <w:basedOn w:val="BodyText"/>
    <w:next w:val="Normal"/>
    <w:qFormat/>
    <w:rsid w:val="002E0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54F"/>
  </w:style>
  <w:style w:type="paragraph" w:styleId="TableofFigures">
    <w:name w:val="table of figures"/>
    <w:basedOn w:val="Normal"/>
    <w:next w:val="Normal"/>
    <w:semiHidden/>
    <w:rsid w:val="002E0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5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54F"/>
    <w:rPr>
      <w:rFonts w:ascii="Wingdings" w:hAnsi="Wingdings"/>
    </w:rPr>
  </w:style>
  <w:style w:type="paragraph" w:customStyle="1" w:styleId="TableHeading">
    <w:name w:val="Table Heading"/>
    <w:basedOn w:val="HeadingBase"/>
    <w:rsid w:val="002E0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54F"/>
    <w:rPr>
      <w:color w:val="0033CC"/>
      <w:u w:val="none"/>
    </w:rPr>
  </w:style>
  <w:style w:type="paragraph" w:customStyle="1" w:styleId="BodyTextRight">
    <w:name w:val="Body Text Right"/>
    <w:basedOn w:val="BodyText"/>
    <w:rsid w:val="002E0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54F"/>
    <w:rPr>
      <w:sz w:val="32"/>
    </w:rPr>
  </w:style>
  <w:style w:type="paragraph" w:customStyle="1" w:styleId="HeadingProcedure">
    <w:name w:val="Heading Procedure"/>
    <w:basedOn w:val="HeadingBase"/>
    <w:next w:val="Normal"/>
    <w:rsid w:val="002E0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54F"/>
    <w:pPr>
      <w:spacing w:before="60" w:after="60"/>
    </w:pPr>
  </w:style>
  <w:style w:type="paragraph" w:styleId="ListContinue">
    <w:name w:val="List Continue"/>
    <w:basedOn w:val="List"/>
    <w:rsid w:val="002E054F"/>
    <w:pPr>
      <w:ind w:firstLine="0"/>
    </w:pPr>
  </w:style>
  <w:style w:type="paragraph" w:customStyle="1" w:styleId="ListNote">
    <w:name w:val="List Note"/>
    <w:basedOn w:val="List"/>
    <w:rsid w:val="002E0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54F"/>
    <w:rPr>
      <w:rFonts w:ascii="Courier New" w:hAnsi="Courier New"/>
    </w:rPr>
  </w:style>
  <w:style w:type="paragraph" w:customStyle="1" w:styleId="NoteBullet">
    <w:name w:val="Note Bullet"/>
    <w:basedOn w:val="Note"/>
    <w:rsid w:val="002E0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54F"/>
    <w:rPr>
      <w:b/>
      <w:smallCaps/>
    </w:rPr>
  </w:style>
  <w:style w:type="paragraph" w:customStyle="1" w:styleId="TableListNumber">
    <w:name w:val="Table List Number"/>
    <w:basedOn w:val="ListNumber"/>
    <w:rsid w:val="002E0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54F"/>
    <w:pPr>
      <w:numPr>
        <w:numId w:val="9"/>
      </w:numPr>
    </w:pPr>
  </w:style>
  <w:style w:type="paragraph" w:customStyle="1" w:styleId="ListAlpha2">
    <w:name w:val="List Alpha 2"/>
    <w:basedOn w:val="List2"/>
    <w:rsid w:val="002E054F"/>
    <w:pPr>
      <w:numPr>
        <w:numId w:val="8"/>
      </w:numPr>
    </w:pPr>
  </w:style>
  <w:style w:type="paragraph" w:styleId="List2">
    <w:name w:val="List 2"/>
    <w:basedOn w:val="BodyText"/>
    <w:rsid w:val="002E0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5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54F"/>
    <w:pPr>
      <w:numPr>
        <w:numId w:val="4"/>
      </w:numPr>
    </w:pPr>
  </w:style>
  <w:style w:type="paragraph" w:styleId="ListContinue2">
    <w:name w:val="List Continue 2"/>
    <w:basedOn w:val="List2"/>
    <w:rsid w:val="002E054F"/>
    <w:pPr>
      <w:ind w:firstLine="0"/>
    </w:pPr>
  </w:style>
  <w:style w:type="paragraph" w:styleId="ListContinue3">
    <w:name w:val="List Continue 3"/>
    <w:basedOn w:val="List3"/>
    <w:rsid w:val="002E054F"/>
    <w:pPr>
      <w:ind w:left="1021" w:firstLine="0"/>
    </w:pPr>
  </w:style>
  <w:style w:type="paragraph" w:styleId="ListContinue4">
    <w:name w:val="List Continue 4"/>
    <w:basedOn w:val="List4"/>
    <w:rsid w:val="002E054F"/>
    <w:pPr>
      <w:ind w:firstLine="0"/>
    </w:pPr>
  </w:style>
  <w:style w:type="paragraph" w:styleId="ListContinue5">
    <w:name w:val="List Continue 5"/>
    <w:basedOn w:val="List5"/>
    <w:rsid w:val="002E054F"/>
    <w:pPr>
      <w:ind w:firstLine="0"/>
    </w:pPr>
  </w:style>
  <w:style w:type="paragraph" w:styleId="ListNumber3">
    <w:name w:val="List Number 3"/>
    <w:basedOn w:val="List3"/>
    <w:rsid w:val="002E054F"/>
    <w:pPr>
      <w:numPr>
        <w:numId w:val="5"/>
      </w:numPr>
    </w:pPr>
  </w:style>
  <w:style w:type="paragraph" w:styleId="ListNumber4">
    <w:name w:val="List Number 4"/>
    <w:basedOn w:val="List4"/>
    <w:rsid w:val="002E054F"/>
    <w:pPr>
      <w:numPr>
        <w:numId w:val="6"/>
      </w:numPr>
    </w:pPr>
  </w:style>
  <w:style w:type="paragraph" w:styleId="ListNumber5">
    <w:name w:val="List Number 5"/>
    <w:basedOn w:val="List5"/>
    <w:rsid w:val="002E054F"/>
    <w:pPr>
      <w:numPr>
        <w:numId w:val="7"/>
      </w:numPr>
    </w:pPr>
  </w:style>
  <w:style w:type="paragraph" w:styleId="BlockText">
    <w:name w:val="Block Text"/>
    <w:basedOn w:val="Normal"/>
    <w:rsid w:val="002E0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54F"/>
    <w:rPr>
      <w:sz w:val="16"/>
      <w:vertAlign w:val="superscript"/>
    </w:rPr>
  </w:style>
  <w:style w:type="character" w:customStyle="1" w:styleId="Symbols">
    <w:name w:val="Symbols"/>
    <w:basedOn w:val="DefaultParagraphFont"/>
    <w:rsid w:val="002E054F"/>
    <w:rPr>
      <w:rFonts w:ascii="Symbol" w:hAnsi="Symbol"/>
    </w:rPr>
  </w:style>
  <w:style w:type="character" w:customStyle="1" w:styleId="MenuOptions">
    <w:name w:val="Menu Options"/>
    <w:basedOn w:val="DefaultParagraphFont"/>
    <w:rsid w:val="002E0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54F"/>
    <w:rPr>
      <w:b/>
    </w:rPr>
  </w:style>
  <w:style w:type="character" w:customStyle="1" w:styleId="Underlined">
    <w:name w:val="Underlined"/>
    <w:basedOn w:val="DefaultParagraphFont"/>
    <w:rsid w:val="002E054F"/>
    <w:rPr>
      <w:u w:val="single"/>
    </w:rPr>
  </w:style>
  <w:style w:type="paragraph" w:customStyle="1" w:styleId="TableBodyTextRight">
    <w:name w:val="Table Body Text Right"/>
    <w:basedOn w:val="TableBodyText"/>
    <w:rsid w:val="002E0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54F"/>
    <w:rPr>
      <w:sz w:val="18"/>
    </w:rPr>
  </w:style>
  <w:style w:type="paragraph" w:customStyle="1" w:styleId="BodySmallRight">
    <w:name w:val="Body Small Right"/>
    <w:basedOn w:val="BodyTextRight"/>
    <w:rsid w:val="002E054F"/>
    <w:rPr>
      <w:sz w:val="18"/>
      <w:szCs w:val="18"/>
    </w:rPr>
  </w:style>
  <w:style w:type="paragraph" w:customStyle="1" w:styleId="MarginEdition">
    <w:name w:val="Margin Edition"/>
    <w:basedOn w:val="MarginNote"/>
    <w:rsid w:val="002E0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54F"/>
    <w:rPr>
      <w:sz w:val="2"/>
      <w:szCs w:val="2"/>
    </w:rPr>
  </w:style>
  <w:style w:type="character" w:customStyle="1" w:styleId="Small">
    <w:name w:val="Small"/>
    <w:basedOn w:val="DefaultParagraphFont"/>
    <w:rsid w:val="002E054F"/>
    <w:rPr>
      <w:sz w:val="16"/>
    </w:rPr>
  </w:style>
  <w:style w:type="paragraph" w:customStyle="1" w:styleId="WideTable">
    <w:name w:val="Wide Table"/>
    <w:basedOn w:val="Normal"/>
    <w:rsid w:val="002E0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54F"/>
  </w:style>
  <w:style w:type="paragraph" w:styleId="Quote">
    <w:name w:val="Quote"/>
    <w:basedOn w:val="Heading1"/>
    <w:link w:val="QuoteChar"/>
    <w:qFormat/>
    <w:rsid w:val="002E0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54F"/>
    <w:pPr>
      <w:pageBreakBefore/>
    </w:pPr>
  </w:style>
  <w:style w:type="paragraph" w:customStyle="1" w:styleId="Border">
    <w:name w:val="Border"/>
    <w:basedOn w:val="Normal"/>
    <w:qFormat/>
    <w:rsid w:val="002E0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54F"/>
    <w:rPr>
      <w:u w:val="single"/>
    </w:rPr>
  </w:style>
  <w:style w:type="character" w:customStyle="1" w:styleId="BoldandItalics">
    <w:name w:val="Bold and Italics"/>
    <w:qFormat/>
    <w:rsid w:val="002E054F"/>
    <w:rPr>
      <w:b/>
      <w:i/>
      <w:u w:val="none"/>
    </w:rPr>
  </w:style>
  <w:style w:type="paragraph" w:styleId="BalloonText">
    <w:name w:val="Balloon Text"/>
    <w:basedOn w:val="Normal"/>
    <w:link w:val="BalloonTextChar"/>
    <w:rsid w:val="002E0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54F"/>
    <w:pPr>
      <w:spacing w:before="0" w:after="0"/>
    </w:pPr>
  </w:style>
  <w:style w:type="paragraph" w:customStyle="1" w:styleId="BodyTextBold">
    <w:name w:val="Body Text Bold"/>
    <w:basedOn w:val="BodyText"/>
    <w:qFormat/>
    <w:rsid w:val="002E054F"/>
    <w:rPr>
      <w:b/>
    </w:rPr>
  </w:style>
  <w:style w:type="character" w:styleId="Hyperlink">
    <w:name w:val="Hyperlink"/>
    <w:basedOn w:val="DefaultParagraphFont"/>
    <w:uiPriority w:val="99"/>
    <w:unhideWhenUsed/>
    <w:rsid w:val="006C4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5634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UETTDRSB35 Maintain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2022-06-03T04:40:00Z</dcterms:created>
  <dcterms:modified xsi:type="dcterms:W3CDTF">2022-06-03T04:40:00Z</dcterms:modified>
</cp:coreProperties>
</file>