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3EE" w:rsidP="009C13EE">
      <w:pPr>
        <w:pStyle w:val="Title"/>
      </w:pPr>
      <w:r>
        <w:fldChar w:fldCharType="begin"/>
      </w:r>
      <w:r>
        <w:instrText xml:space="preserve"> TITLE   \* MERGEFORMAT </w:instrText>
      </w:r>
      <w:r>
        <w:fldChar w:fldCharType="separate"/>
      </w:r>
      <w:r>
        <w:t>UETTDRSB29 Maintain capacitor bank equipment for voltage regulation</w:t>
      </w:r>
      <w:r>
        <w:fldChar w:fldCharType="end"/>
      </w:r>
    </w:p>
    <w:p w:rsidR="009C13EE" w:rsidP="009C13EE">
      <w:pPr>
        <w:pStyle w:val="Version"/>
        <w:sectPr w:rsidSect="001A1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C50" w:rsidP="001A1C50">
      <w:pPr>
        <w:pStyle w:val="SuperHeading"/>
      </w:pPr>
      <w:r w:rsidRPr="001A1C50">
        <w:t>UETTDRSB29 Maintain capacitor bank equipment for voltage regulation</w:t>
      </w:r>
    </w:p>
    <w:p w:rsidR="00000000" w:rsidRPr="001A1C50" w:rsidP="001A1C50">
      <w:pPr>
        <w:pStyle w:val="Heading1"/>
      </w:pPr>
      <w:bookmarkStart w:id="1" w:name="O_1004568"/>
      <w:bookmarkEnd w:id="1"/>
      <w:r w:rsidRPr="001A1C50">
        <w:t>Modification History</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Release 1. This is the first release of this unit of competency in the UET Transmission, Distribution and Rail Sector Training Package.</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2" w:name="O_1004569"/>
      <w:bookmarkEnd w:id="2"/>
      <w:r w:rsidRPr="001A1C50">
        <w:t>Application</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This unit involves the skills and knowledge required to maintain capacitor bank equipment for voltage regulation in the electricity supply industry (ESI).</w:t>
            </w:r>
          </w:p>
          <w:p w:rsidR="00000000" w:rsidRPr="001A1C50" w:rsidP="001A1C50">
            <w:pPr>
              <w:pStyle w:val="BodyText"/>
            </w:pPr>
            <w:r w:rsidRPr="001A1C50">
              <w:t>It includes maintaining and repairing substation voltage regulating equipment an</w:t>
            </w:r>
            <w:r w:rsidRPr="001A1C50">
              <w:t>d is restricted to high voltage (HV) capacitor banks and associated switching reactors and the inspection, recording of information, testing and measurement of the associated control circuits. It also includes the range of acceptance tests and discharge re</w:t>
            </w:r>
            <w:r w:rsidRPr="001A1C50">
              <w:t>quirements for complete units within a substation in accordance with industry standards and workplace procedures, fault diagnosis and return to service tests and interpretation of test results against agreed specifications.</w:t>
            </w:r>
          </w:p>
          <w:p w:rsidR="00000000" w:rsidRPr="001A1C50" w:rsidP="001A1C50">
            <w:pPr>
              <w:pStyle w:val="BodyText"/>
            </w:pPr>
            <w:r w:rsidRPr="001A1C50">
              <w:t>The application of the skills an</w:t>
            </w:r>
            <w:r w:rsidRPr="001A1C50">
              <w:t>d knowledge described in this unit may require a licence/registration to practice in the workplace.</w:t>
            </w:r>
          </w:p>
          <w:p w:rsidR="00000000" w:rsidRPr="001A1C50" w:rsidP="001A1C50">
            <w:pPr>
              <w:pStyle w:val="BodyText"/>
            </w:pPr>
            <w:r w:rsidRPr="001A1C50">
              <w:t>Other conditions may apply under state and territory legislative and regulatory licensing requirements which must be confirmed prior to commencing this unit</w:t>
            </w:r>
            <w:r w:rsidRPr="001A1C50">
              <w:t>.</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3" w:name="O_1004570"/>
      <w:bookmarkEnd w:id="3"/>
      <w:r w:rsidRPr="001A1C50">
        <w:t>Pre-requisite Unit</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Common Unit Group</w:t>
            </w:r>
          </w:p>
          <w:p w:rsidR="00000000" w:rsidRPr="001A1C50" w:rsidP="001A1C50">
            <w:pPr>
              <w:pStyle w:val="BodyText"/>
            </w:pPr>
            <w:r w:rsidRPr="001A1C50">
              <w:t>UEENEEE101A Apply Occupational Health and Safety regulations, codes and practices in the workplace</w:t>
            </w:r>
          </w:p>
          <w:p w:rsidR="00000000" w:rsidRPr="001A1C50" w:rsidP="001A1C50">
            <w:pPr>
              <w:pStyle w:val="BodyText"/>
            </w:pPr>
            <w:r w:rsidRPr="001A1C50">
              <w:t>UEENEEE102A Fabricate, assemble and dismantle utilities industry components</w:t>
            </w:r>
          </w:p>
          <w:p w:rsidR="00000000" w:rsidRPr="001A1C50" w:rsidP="001A1C50">
            <w:pPr>
              <w:pStyle w:val="BodyText"/>
            </w:pPr>
            <w:r w:rsidRPr="001A1C50">
              <w:t>UEENEEE104A Solve pro</w:t>
            </w:r>
            <w:r w:rsidRPr="001A1C50">
              <w:t>blems in d.c. circuits</w:t>
            </w:r>
          </w:p>
          <w:p w:rsidR="00000000" w:rsidRPr="001A1C50" w:rsidP="001A1C50">
            <w:pPr>
              <w:pStyle w:val="BodyText"/>
            </w:pPr>
            <w:r w:rsidRPr="001A1C50">
              <w:t>UEENEEE105A Fix and secure electrotechnology equipment</w:t>
            </w:r>
          </w:p>
          <w:p w:rsidR="00000000" w:rsidRPr="001A1C50" w:rsidP="001A1C50">
            <w:pPr>
              <w:pStyle w:val="BodyText"/>
            </w:pPr>
            <w:r w:rsidRPr="001A1C50">
              <w:t>UEENEEE107A Use drawings, diagrams, schedules, standards, codes and specifications</w:t>
            </w:r>
          </w:p>
          <w:p w:rsidR="00000000" w:rsidRPr="001A1C50" w:rsidP="001A1C50">
            <w:pPr>
              <w:pStyle w:val="BodyText"/>
            </w:pPr>
            <w:r w:rsidRPr="001A1C50">
              <w:t xml:space="preserve">UEENEEE137A Document and apply measures to control OHS risks associated with electrotechnology </w:t>
            </w:r>
            <w:r w:rsidRPr="001A1C50">
              <w:t>work</w:t>
            </w:r>
          </w:p>
          <w:p w:rsidR="00000000" w:rsidRPr="001A1C50" w:rsidP="001A1C50">
            <w:pPr>
              <w:pStyle w:val="BodyText"/>
            </w:pPr>
            <w:r w:rsidRPr="001A1C50">
              <w:t>UEENEEG006A Solve problems in single and three phase low voltage machines</w:t>
            </w:r>
          </w:p>
          <w:p w:rsidR="00000000" w:rsidRPr="001A1C50" w:rsidP="001A1C50">
            <w:pPr>
              <w:pStyle w:val="BodyText"/>
            </w:pPr>
            <w:r w:rsidRPr="001A1C50">
              <w:t>UEENEEG101A Solve problems in electromagnetic devices and related circuits</w:t>
            </w:r>
          </w:p>
          <w:p w:rsidR="00000000" w:rsidRPr="001A1C50" w:rsidP="001A1C50">
            <w:pPr>
              <w:pStyle w:val="BodyText"/>
            </w:pPr>
            <w:r w:rsidRPr="001A1C50">
              <w:t>UEENEEG102A Solve problems in low voltage a.c. circuits</w:t>
            </w:r>
          </w:p>
          <w:p w:rsidR="00000000" w:rsidRPr="001A1C50" w:rsidP="001A1C50">
            <w:pPr>
              <w:pStyle w:val="BodyText"/>
            </w:pPr>
            <w:r w:rsidRPr="001A1C50">
              <w:t>UEENEEG106A Terminate cables, cords and accessories for low voltage circuits</w:t>
            </w:r>
          </w:p>
          <w:p w:rsidR="00000000" w:rsidRPr="001A1C50" w:rsidP="001A1C50">
            <w:pPr>
              <w:pStyle w:val="BodyText"/>
            </w:pPr>
            <w:r w:rsidRPr="001A1C50">
              <w:t>UEENEEK142A Apply environmentally and sustainable procedures in the energy sector</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4" w:name="O_1004571"/>
      <w:bookmarkEnd w:id="4"/>
      <w:r w:rsidRPr="001A1C50">
        <w:t>Competency Field</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Substation</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5" w:name="O_1004572"/>
      <w:bookmarkEnd w:id="5"/>
      <w:r w:rsidRPr="001A1C50">
        <w:t>Unit Sector</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Not applicable.</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6" w:name="O_1004573"/>
      <w:bookmarkEnd w:id="6"/>
      <w:r w:rsidRPr="001A1C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A1C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PERFORMANCE CRITERIA</w:t>
            </w:r>
          </w:p>
        </w:tc>
      </w:tr>
      <w:tr w:rsidTr="001A1C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Performance criteria describe the performance needed to demonstrate achievement of the element.</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Plan to maintain voltage regulating equipment (capacitor banks)</w:t>
            </w: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Work schedules, construction plans, drawings, workplace procedures and material lists are obtained and analysed</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Job requirements and workplace procedures are identified and communic</w:t>
            </w:r>
            <w:r w:rsidRPr="001A1C50">
              <w:t>ated with relevant personnel</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Hazards are identified, work health and safety (WHS)/occupational health and safety (OHS)risks assessed and control measures prioritised, implemented and monitored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Work is prioritised and sequenced for completion within acceptable timeframes following consultation with relevant personnel and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Risk control measures are identified, prioritised, implemented and evaluated aga</w:t>
            </w:r>
            <w:r w:rsidRPr="001A1C50">
              <w:t>inst the work schedule</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Equipment, tools and personal protective equipment (PPE) required for work are identified, obtained and confirmed in working order</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Liaison and communication issues with authorised personnel, authorities, clients and land owners are resolved to facilitate work, as required</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Personnel participating in work are fully briefed and responsibilities confirmed in accordance with workpla</w:t>
            </w:r>
            <w:r w:rsidRPr="001A1C50">
              <w:t xml:space="preserve">ce </w:t>
            </w:r>
            <w:r w:rsidRPr="001A1C50">
              <w:t>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Worksite is prepared to minimise risk, damage to property, commerce and individuals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Carry out the maintenance of voltage regulating equipment (capacitor banks)</w:t>
            </w: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 xml:space="preserve">WHS/OHS, sustainable energy </w:t>
            </w:r>
            <w:r w:rsidRPr="001A1C50">
              <w:t>and environmental principles and practices are monitored and actioned to reduce incidents of accidents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Cardiopulmonary resuscitation (CPR), rescue from live electrical apparatus and other related safety proced</w:t>
            </w:r>
            <w:r w:rsidRPr="001A1C50">
              <w:t xml:space="preserve">ures are in place in accordance with job requirements and/or workplace procedures </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Safe working documentation is acquired and requirements completed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Requirements for lifting, climbing, working at heights, confined spaces and use of power tools/equipment are followed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 xml:space="preserve">Hazard warnings and safety signs are recognised and hazards and assessed WHS/OHS risks are </w:t>
            </w:r>
            <w:r w:rsidRPr="001A1C50">
              <w:t>reported to immediate authorised personnel for directions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Capacitor bank is isolated, discharged and maintained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Defective capacitor elements are identified, located and replaced in accordance with manufacturer instructions and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Capacitor network is balanced and pre-service tests and measurements completed in accordance with workplace proce</w:t>
            </w:r>
            <w:r w:rsidRPr="001A1C50">
              <w:t>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Voltage regulating equipment (capacitor banks) are safely maintained to ensure completion in agreed timeframes, to quality standards and with minimum waste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Unplanned events are responded to in ac</w:t>
            </w:r>
            <w:r w:rsidRPr="001A1C50">
              <w:t>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rPr>
                <w:rStyle w:val="SpecialBold"/>
              </w:rPr>
              <w:t>Complete the maintenance of voltage regulating equipment (capacitor banks)</w:t>
            </w: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Completed work is checked against work schedule, construction plans and drawings for compliance and anomalies are reported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Safe working documentation is surrendered and the capacitor bank is made ready for ser</w:t>
            </w:r>
            <w:r w:rsidRPr="001A1C50">
              <w:t>vice</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Worksite is rehabilitated, cleaned up and confirmed safe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t>Tools, equipment, surplus resources and materials are cleaned, checked and returned to storage in accordance with workplace procedures</w:t>
            </w:r>
          </w:p>
        </w:tc>
      </w:tr>
      <w:tr w:rsidTr="001A1C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1C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A1C50">
            <w:pPr>
              <w:pStyle w:val="BodyText"/>
              <w:rPr>
                <w:lang w:val="en-NZ"/>
              </w:rPr>
            </w:pPr>
            <w:r w:rsidRPr="001A1C50">
              <w:rPr>
                <w:rStyle w:val="SpecialBold"/>
              </w:rPr>
              <w:t>3.</w:t>
            </w:r>
            <w:r w:rsidRPr="001A1C50">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Work records, reports and/or documentation are completed in accordance with workplace procedures and relevant personnel notified</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7" w:name="O_1004574"/>
      <w:bookmarkEnd w:id="7"/>
      <w:r w:rsidRPr="001A1C50">
        <w:t>Foundation Skills</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Foundation skills essential to performance are explicit in the performance criteria of this unit of competency.</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8" w:name="O_1004575"/>
      <w:bookmarkEnd w:id="8"/>
      <w:r w:rsidRPr="001A1C50">
        <w:t>Range of Conditions</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Range is restricted to essential operating conditions and any other variables essential to the work env</w:t>
            </w:r>
            <w:r w:rsidRPr="001A1C50">
              <w:t>ironment.</w:t>
            </w:r>
          </w:p>
          <w:p w:rsidR="00000000" w:rsidRPr="001A1C50" w:rsidP="001A1C50">
            <w:pPr>
              <w:pStyle w:val="BodyText"/>
            </w:pPr>
            <w:r w:rsidRPr="001A1C50">
              <w:t>Non-essential conditions may be found in the Companion Volume Implementation Guide.</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9" w:name="O_1004576"/>
      <w:bookmarkEnd w:id="9"/>
      <w:r w:rsidRPr="001A1C50">
        <w:t>Unit Mapping Information</w:t>
      </w:r>
    </w:p>
    <w:tbl>
      <w:tblPr>
        <w:tblW w:w="9497" w:type="dxa"/>
        <w:tblLayout w:type="fixed"/>
        <w:tblCellMar>
          <w:left w:w="62" w:type="dxa"/>
          <w:right w:w="62" w:type="dxa"/>
        </w:tblCellMar>
        <w:tblLook w:val="0000"/>
      </w:tblPr>
      <w:tblGrid>
        <w:gridCol w:w="9497"/>
      </w:tblGrid>
      <w:tr w:rsidTr="001A1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C50" w:rsidP="001A1C50">
            <w:pPr>
              <w:pStyle w:val="BodyText"/>
            </w:pPr>
            <w:r w:rsidRPr="001A1C50">
              <w:t>This unit replaces and is equivalent to UETTDRSB29A Maintain capacitor bank equipment for voltage regulation.</w:t>
            </w:r>
          </w:p>
        </w:tc>
      </w:tr>
    </w:tbl>
    <w:p w:rsidR="00000000" w:rsidRPr="001A1C50" w:rsidP="001A1C50">
      <w:pPr>
        <w:pStyle w:val="NoPaddingFontSize1"/>
      </w:pPr>
    </w:p>
    <w:p w:rsidR="00000000" w:rsidRPr="001A1C50" w:rsidP="001A1C50">
      <w:pPr>
        <w:pStyle w:val="AllowPageBreak"/>
      </w:pPr>
    </w:p>
    <w:p w:rsidR="00000000" w:rsidRPr="001A1C50" w:rsidP="001A1C50">
      <w:pPr>
        <w:pStyle w:val="Heading1"/>
      </w:pPr>
      <w:bookmarkStart w:id="10" w:name="O_1004583"/>
      <w:bookmarkEnd w:id="10"/>
      <w:r w:rsidRPr="001A1C50">
        <w:t>Links</w:t>
      </w:r>
    </w:p>
    <w:p w:rsidR="00000000" w:rsidRPr="001A1C50" w:rsidP="009C13EE">
      <w:pPr>
        <w:pStyle w:val="BodyText"/>
      </w:pPr>
      <w:r w:rsidRPr="001A1C50">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0733C">
        <w:rPr>
          <w:rStyle w:val="Hyperlink"/>
        </w:rPr>
        <w:t>https://vetnet.gov.au/Pages/TrainingDocs.aspx?q=229bace1-b7bc-4653-9300-dffb13ecfad7</w:t>
      </w:r>
      <w:r>
        <w:fldChar w:fldCharType="end"/>
      </w:r>
    </w:p>
    <w:p w:rsidR="00000000" w:rsidRPr="001A1C50" w:rsidP="001A1C50"/>
    <w:sectPr w:rsidSect="001A1C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50" w:rsidRPr="009C13EE" w:rsidP="009C13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EE" w:rsidP="001A1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3EE" w:rsidP="001A1C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13EE" w:rsidP="001A1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C50" w:rsidRPr="009C13EE" w:rsidP="009C13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EE" w:rsidRPr="002D2AF8" w:rsidP="001A1C50">
    <w:pPr>
      <w:pStyle w:val="Header"/>
      <w:framePr w:wrap="around"/>
    </w:pPr>
    <w:r>
      <w:fldChar w:fldCharType="begin"/>
    </w:r>
    <w:r>
      <w:instrText xml:space="preserve"> TITLE   \* MERGEFORMAT </w:instrText>
    </w:r>
    <w:r>
      <w:fldChar w:fldCharType="separate"/>
    </w:r>
    <w:r>
      <w:t>UETTDRSB29 Maintain capacitor bank equipment for voltage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9C13EE" w:rsidP="001A1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C50"/>
    <w:pPr>
      <w:spacing w:before="360" w:after="60"/>
      <w:outlineLvl w:val="0"/>
    </w:pPr>
    <w:rPr>
      <w:sz w:val="32"/>
    </w:rPr>
  </w:style>
  <w:style w:type="paragraph" w:styleId="Heading2">
    <w:name w:val="heading 2"/>
    <w:basedOn w:val="HeadingBase"/>
    <w:next w:val="BodyText"/>
    <w:link w:val="Heading2Char"/>
    <w:qFormat/>
    <w:rsid w:val="001A1C50"/>
    <w:pPr>
      <w:keepLines/>
      <w:spacing w:before="240" w:after="120"/>
      <w:outlineLvl w:val="1"/>
    </w:pPr>
    <w:rPr>
      <w:sz w:val="28"/>
      <w:szCs w:val="40"/>
    </w:rPr>
  </w:style>
  <w:style w:type="paragraph" w:styleId="Heading3">
    <w:name w:val="heading 3"/>
    <w:basedOn w:val="HeadingBase"/>
    <w:next w:val="BodyText"/>
    <w:link w:val="Heading3Char"/>
    <w:qFormat/>
    <w:rsid w:val="001A1C50"/>
    <w:pPr>
      <w:spacing w:before="180" w:after="120"/>
      <w:outlineLvl w:val="2"/>
    </w:pPr>
    <w:rPr>
      <w:spacing w:val="-10"/>
      <w:kern w:val="32"/>
    </w:rPr>
  </w:style>
  <w:style w:type="paragraph" w:styleId="Heading4">
    <w:name w:val="heading 4"/>
    <w:basedOn w:val="HeadingBase"/>
    <w:next w:val="BodyText"/>
    <w:link w:val="Heading4Char"/>
    <w:qFormat/>
    <w:rsid w:val="001A1C50"/>
    <w:pPr>
      <w:spacing w:before="160" w:after="120"/>
      <w:outlineLvl w:val="3"/>
    </w:pPr>
    <w:rPr>
      <w:sz w:val="22"/>
    </w:rPr>
  </w:style>
  <w:style w:type="paragraph" w:styleId="Heading5">
    <w:name w:val="heading 5"/>
    <w:basedOn w:val="HeadingBase"/>
    <w:next w:val="Normal"/>
    <w:link w:val="Heading5Char"/>
    <w:qFormat/>
    <w:rsid w:val="001A1C50"/>
    <w:pPr>
      <w:spacing w:before="80"/>
      <w:outlineLvl w:val="4"/>
    </w:pPr>
    <w:rPr>
      <w:color w:val="918585"/>
      <w:sz w:val="20"/>
    </w:rPr>
  </w:style>
  <w:style w:type="paragraph" w:styleId="Heading6">
    <w:name w:val="heading 6"/>
    <w:basedOn w:val="HeadingBase"/>
    <w:next w:val="Normal"/>
    <w:link w:val="Heading6Char"/>
    <w:qFormat/>
    <w:rsid w:val="001A1C50"/>
    <w:pPr>
      <w:spacing w:before="60"/>
      <w:outlineLvl w:val="5"/>
    </w:pPr>
    <w:rPr>
      <w:color w:val="918585"/>
      <w:sz w:val="20"/>
    </w:rPr>
  </w:style>
  <w:style w:type="paragraph" w:styleId="Heading7">
    <w:name w:val="heading 7"/>
    <w:basedOn w:val="Normal"/>
    <w:next w:val="Normal"/>
    <w:link w:val="Heading7Char"/>
    <w:qFormat/>
    <w:rsid w:val="001A1C50"/>
    <w:pPr>
      <w:ind w:left="720"/>
      <w:outlineLvl w:val="6"/>
    </w:pPr>
    <w:rPr>
      <w:i/>
    </w:rPr>
  </w:style>
  <w:style w:type="paragraph" w:styleId="Heading8">
    <w:name w:val="heading 8"/>
    <w:basedOn w:val="Normal"/>
    <w:next w:val="Normal"/>
    <w:link w:val="Heading8Char"/>
    <w:qFormat/>
    <w:rsid w:val="001A1C50"/>
    <w:pPr>
      <w:ind w:left="720"/>
      <w:outlineLvl w:val="7"/>
    </w:pPr>
    <w:rPr>
      <w:i/>
    </w:rPr>
  </w:style>
  <w:style w:type="paragraph" w:styleId="Heading9">
    <w:name w:val="heading 9"/>
    <w:basedOn w:val="Normal"/>
    <w:next w:val="Normal"/>
    <w:link w:val="Heading9Char"/>
    <w:qFormat/>
    <w:rsid w:val="001A1C50"/>
    <w:pPr>
      <w:ind w:left="720"/>
      <w:outlineLvl w:val="8"/>
    </w:pPr>
    <w:rPr>
      <w:i/>
    </w:rPr>
  </w:style>
  <w:style w:type="character" w:default="1" w:styleId="DefaultParagraphFont">
    <w:name w:val="Default Paragraph Font"/>
    <w:uiPriority w:val="1"/>
    <w:unhideWhenUsed/>
    <w:rsid w:val="001A1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C50"/>
  </w:style>
  <w:style w:type="character" w:customStyle="1" w:styleId="Heading1Char">
    <w:name w:val="Heading 1 Char"/>
    <w:basedOn w:val="DefaultParagraphFont"/>
    <w:link w:val="Heading1"/>
    <w:rsid w:val="001A1C50"/>
    <w:rPr>
      <w:rFonts w:ascii="Times New Roman" w:eastAsia="Times New Roman" w:hAnsi="Times New Roman" w:cs="Times New Roman"/>
      <w:b/>
      <w:sz w:val="32"/>
      <w:szCs w:val="20"/>
      <w:lang w:eastAsia="en-US"/>
    </w:rPr>
  </w:style>
  <w:style w:type="paragraph" w:styleId="BodyText">
    <w:name w:val="Body Text"/>
    <w:basedOn w:val="Normal"/>
    <w:link w:val="BodyTextChar"/>
    <w:rsid w:val="001A1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C50"/>
    <w:rPr>
      <w:rFonts w:ascii="Times New Roman" w:eastAsia="Times New Roman" w:hAnsi="Times New Roman" w:cs="Times New Roman"/>
      <w:sz w:val="24"/>
      <w:lang w:eastAsia="en-US"/>
    </w:rPr>
  </w:style>
  <w:style w:type="character" w:customStyle="1" w:styleId="SpecialBold">
    <w:name w:val="Special Bold"/>
    <w:basedOn w:val="DefaultParagraphFont"/>
    <w:rsid w:val="001A1C50"/>
    <w:rPr>
      <w:b/>
      <w:spacing w:val="0"/>
    </w:rPr>
  </w:style>
  <w:style w:type="paragraph" w:customStyle="1" w:styleId="SuperHeading">
    <w:name w:val="SuperHeading"/>
    <w:basedOn w:val="Normal"/>
    <w:rsid w:val="001A1C50"/>
    <w:pPr>
      <w:spacing w:before="240" w:after="120"/>
      <w:outlineLvl w:val="0"/>
    </w:pPr>
    <w:rPr>
      <w:rFonts w:ascii="Times New Roman" w:hAnsi="Times New Roman"/>
      <w:b/>
      <w:sz w:val="32"/>
    </w:rPr>
  </w:style>
  <w:style w:type="paragraph" w:customStyle="1" w:styleId="AllowPageBreak">
    <w:name w:val="AllowPageBreak"/>
    <w:rsid w:val="001A1C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1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C50"/>
    <w:rPr>
      <w:rFonts w:ascii="Courier New" w:eastAsia="Times New Roman" w:hAnsi="Courier New" w:cs="Times New Roman"/>
      <w:i/>
      <w:szCs w:val="20"/>
      <w:lang w:eastAsia="en-US"/>
    </w:rPr>
  </w:style>
  <w:style w:type="paragraph" w:customStyle="1" w:styleId="HeadingBase">
    <w:name w:val="Heading Base"/>
    <w:rsid w:val="001A1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C50"/>
    <w:pPr>
      <w:tabs>
        <w:tab w:val="right" w:leader="dot" w:pos="9072"/>
      </w:tabs>
      <w:ind w:left="567"/>
    </w:pPr>
    <w:rPr>
      <w:szCs w:val="22"/>
    </w:rPr>
  </w:style>
  <w:style w:type="paragraph" w:customStyle="1" w:styleId="TOCBase">
    <w:name w:val="TOC Base"/>
    <w:rsid w:val="001A1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C50"/>
    <w:pPr>
      <w:tabs>
        <w:tab w:val="right" w:leader="dot" w:pos="9072"/>
      </w:tabs>
      <w:spacing w:before="40" w:after="40"/>
      <w:ind w:left="284"/>
    </w:pPr>
    <w:rPr>
      <w:rFonts w:ascii="Times New Roman" w:hAnsi="Times New Roman"/>
    </w:rPr>
  </w:style>
  <w:style w:type="paragraph" w:styleId="TOC1">
    <w:name w:val="toc 1"/>
    <w:basedOn w:val="TOCBase"/>
    <w:next w:val="Normal"/>
    <w:rsid w:val="001A1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C50"/>
    <w:rPr>
      <w:rFonts w:ascii="Times New Roman" w:eastAsia="Times New Roman" w:hAnsi="Times New Roman" w:cs="Times New Roman"/>
      <w:sz w:val="16"/>
      <w:lang w:eastAsia="en-US"/>
    </w:rPr>
  </w:style>
  <w:style w:type="paragraph" w:styleId="Title">
    <w:name w:val="Title"/>
    <w:basedOn w:val="HeadingBase"/>
    <w:link w:val="TitleChar"/>
    <w:qFormat/>
    <w:rsid w:val="001A1C50"/>
    <w:pPr>
      <w:spacing w:before="5040"/>
      <w:jc w:val="center"/>
    </w:pPr>
    <w:rPr>
      <w:sz w:val="48"/>
      <w:szCs w:val="72"/>
      <w:lang w:val="en-US"/>
    </w:rPr>
  </w:style>
  <w:style w:type="character" w:customStyle="1" w:styleId="TitleChar">
    <w:name w:val="Title Char"/>
    <w:basedOn w:val="DefaultParagraphFont"/>
    <w:link w:val="Title"/>
    <w:rsid w:val="001A1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C50"/>
    <w:pPr>
      <w:tabs>
        <w:tab w:val="left" w:pos="3600"/>
        <w:tab w:val="left" w:pos="3958"/>
      </w:tabs>
    </w:pPr>
  </w:style>
  <w:style w:type="paragraph" w:styleId="List">
    <w:name w:val="List"/>
    <w:basedOn w:val="BodyText"/>
    <w:next w:val="BodyText"/>
    <w:rsid w:val="001A1C50"/>
    <w:pPr>
      <w:tabs>
        <w:tab w:val="left" w:pos="340"/>
      </w:tabs>
      <w:spacing w:before="60" w:after="60"/>
      <w:ind w:left="340" w:hanging="340"/>
    </w:pPr>
  </w:style>
  <w:style w:type="paragraph" w:styleId="ListBullet">
    <w:name w:val="List Bullet"/>
    <w:basedOn w:val="List"/>
    <w:rsid w:val="001A1C50"/>
    <w:pPr>
      <w:numPr>
        <w:numId w:val="10"/>
      </w:numPr>
      <w:tabs>
        <w:tab w:val="clear" w:pos="340"/>
      </w:tabs>
      <w:spacing w:before="40" w:after="40"/>
    </w:pPr>
  </w:style>
  <w:style w:type="paragraph" w:customStyle="1" w:styleId="Note">
    <w:name w:val="Note"/>
    <w:basedOn w:val="BodyText"/>
    <w:rsid w:val="001A1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C50"/>
    <w:pPr>
      <w:framePr w:wrap="auto" w:hAnchor="text" w:y="6049"/>
    </w:pPr>
    <w:rPr>
      <w:color w:val="000000"/>
      <w:sz w:val="40"/>
    </w:rPr>
  </w:style>
  <w:style w:type="paragraph" w:customStyle="1" w:styleId="TOCTitle">
    <w:name w:val="TOCTitle"/>
    <w:basedOn w:val="Heading1"/>
    <w:rsid w:val="001A1C50"/>
    <w:pPr>
      <w:spacing w:after="240"/>
      <w:jc w:val="center"/>
      <w:outlineLvl w:val="9"/>
    </w:pPr>
    <w:rPr>
      <w:caps/>
    </w:rPr>
  </w:style>
  <w:style w:type="paragraph" w:customStyle="1" w:styleId="Version">
    <w:name w:val="Version"/>
    <w:rsid w:val="001A1C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C50"/>
    <w:pPr>
      <w:numPr>
        <w:numId w:val="11"/>
      </w:numPr>
      <w:tabs>
        <w:tab w:val="clear" w:pos="680"/>
      </w:tabs>
    </w:pPr>
  </w:style>
  <w:style w:type="paragraph" w:styleId="Index1">
    <w:name w:val="index 1"/>
    <w:basedOn w:val="Normal"/>
    <w:next w:val="Normal"/>
    <w:semiHidden/>
    <w:rsid w:val="001A1C50"/>
    <w:pPr>
      <w:keepNext w:val="0"/>
      <w:tabs>
        <w:tab w:val="right" w:pos="4176"/>
      </w:tabs>
      <w:ind w:left="198" w:hanging="198"/>
    </w:pPr>
    <w:rPr>
      <w:rFonts w:ascii="Garamond" w:hAnsi="Garamond"/>
    </w:rPr>
  </w:style>
  <w:style w:type="paragraph" w:styleId="IndexHeading">
    <w:name w:val="index heading"/>
    <w:basedOn w:val="Normal"/>
    <w:next w:val="Index1"/>
    <w:semiHidden/>
    <w:rsid w:val="001A1C50"/>
    <w:pPr>
      <w:spacing w:before="120" w:after="120"/>
    </w:pPr>
    <w:rPr>
      <w:rFonts w:ascii="Arial" w:hAnsi="Arial"/>
      <w:b/>
      <w:color w:val="918585"/>
      <w:sz w:val="24"/>
    </w:rPr>
  </w:style>
  <w:style w:type="paragraph" w:styleId="Header">
    <w:name w:val="header"/>
    <w:basedOn w:val="Normal"/>
    <w:link w:val="HeaderChar"/>
    <w:rsid w:val="001A1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C50"/>
    <w:rPr>
      <w:rFonts w:ascii="Times New Roman" w:eastAsia="Times New Roman" w:hAnsi="Times New Roman" w:cs="Times New Roman"/>
      <w:sz w:val="16"/>
      <w:szCs w:val="20"/>
      <w:lang w:val="en-GB" w:eastAsia="en-US"/>
    </w:rPr>
  </w:style>
  <w:style w:type="paragraph" w:customStyle="1" w:styleId="Chapter">
    <w:name w:val="Chapter"/>
    <w:basedOn w:val="Normal"/>
    <w:rsid w:val="001A1C50"/>
    <w:pPr>
      <w:spacing w:before="240"/>
    </w:pPr>
    <w:rPr>
      <w:rFonts w:ascii="Times New Roman" w:hAnsi="Times New Roman"/>
      <w:smallCaps/>
      <w:spacing w:val="80"/>
      <w:sz w:val="28"/>
    </w:rPr>
  </w:style>
  <w:style w:type="paragraph" w:customStyle="1" w:styleId="InChapter">
    <w:name w:val="InChapter"/>
    <w:basedOn w:val="Heading3"/>
    <w:rsid w:val="001A1C50"/>
    <w:pPr>
      <w:spacing w:after="240"/>
      <w:outlineLvl w:val="9"/>
    </w:pPr>
    <w:rPr>
      <w:noProof/>
    </w:rPr>
  </w:style>
  <w:style w:type="paragraph" w:styleId="Index2">
    <w:name w:val="index 2"/>
    <w:basedOn w:val="Normal"/>
    <w:next w:val="Normal"/>
    <w:semiHidden/>
    <w:rsid w:val="001A1C50"/>
    <w:pPr>
      <w:tabs>
        <w:tab w:val="right" w:pos="4176"/>
      </w:tabs>
      <w:ind w:left="568" w:hanging="284"/>
    </w:pPr>
    <w:rPr>
      <w:rFonts w:ascii="Garamond" w:hAnsi="Garamond"/>
    </w:rPr>
  </w:style>
  <w:style w:type="paragraph" w:customStyle="1" w:styleId="Byline">
    <w:name w:val="Byline"/>
    <w:rsid w:val="001A1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C50"/>
    <w:pPr>
      <w:tabs>
        <w:tab w:val="clear" w:pos="3600"/>
        <w:tab w:val="clear" w:pos="3958"/>
      </w:tabs>
      <w:jc w:val="right"/>
    </w:pPr>
  </w:style>
  <w:style w:type="character" w:styleId="Emphasis">
    <w:name w:val="Emphasis"/>
    <w:basedOn w:val="DefaultParagraphFont"/>
    <w:qFormat/>
    <w:rsid w:val="001A1C50"/>
    <w:rPr>
      <w:i/>
    </w:rPr>
  </w:style>
  <w:style w:type="paragraph" w:styleId="Caption">
    <w:name w:val="caption"/>
    <w:basedOn w:val="BodyText"/>
    <w:next w:val="Normal"/>
    <w:qFormat/>
    <w:rsid w:val="001A1C50"/>
    <w:pPr>
      <w:framePr w:w="2268" w:hSpace="181" w:vSpace="181" w:wrap="around" w:vAnchor="text" w:hAnchor="page" w:x="1135" w:y="285" w:anchorLock="1"/>
    </w:pPr>
    <w:rPr>
      <w:i/>
    </w:rPr>
  </w:style>
  <w:style w:type="paragraph" w:customStyle="1" w:styleId="MiniTOCTitle">
    <w:name w:val="MiniTOCTitle"/>
    <w:basedOn w:val="Heading4"/>
    <w:rsid w:val="001A1C50"/>
    <w:pPr>
      <w:spacing w:before="240"/>
      <w:outlineLvl w:val="9"/>
    </w:pPr>
    <w:rPr>
      <w:noProof/>
      <w:sz w:val="24"/>
    </w:rPr>
  </w:style>
  <w:style w:type="paragraph" w:customStyle="1" w:styleId="MiniTOCItem">
    <w:name w:val="MiniTOCItem"/>
    <w:basedOn w:val="ListBullet"/>
    <w:rsid w:val="001A1C50"/>
    <w:pPr>
      <w:numPr>
        <w:numId w:val="0"/>
      </w:numPr>
      <w:tabs>
        <w:tab w:val="right" w:leader="dot" w:pos="6521"/>
      </w:tabs>
      <w:spacing w:before="0" w:after="0"/>
    </w:pPr>
  </w:style>
  <w:style w:type="paragraph" w:customStyle="1" w:styleId="TOFTitle">
    <w:name w:val="TOFTitle"/>
    <w:basedOn w:val="TOCTitle"/>
    <w:rsid w:val="001A1C50"/>
  </w:style>
  <w:style w:type="paragraph" w:styleId="TableofFigures">
    <w:name w:val="table of figures"/>
    <w:basedOn w:val="Normal"/>
    <w:next w:val="Normal"/>
    <w:semiHidden/>
    <w:rsid w:val="001A1C50"/>
    <w:pPr>
      <w:tabs>
        <w:tab w:val="right" w:leader="dot" w:pos="9072"/>
      </w:tabs>
      <w:ind w:left="970" w:hanging="403"/>
    </w:pPr>
    <w:rPr>
      <w:rFonts w:ascii="Times New Roman" w:hAnsi="Times New Roman"/>
      <w:b/>
    </w:rPr>
  </w:style>
  <w:style w:type="paragraph" w:styleId="ListNumber">
    <w:name w:val="List Number"/>
    <w:basedOn w:val="List"/>
    <w:rsid w:val="001A1C50"/>
    <w:pPr>
      <w:numPr>
        <w:numId w:val="13"/>
      </w:numPr>
      <w:tabs>
        <w:tab w:val="clear" w:pos="340"/>
      </w:tabs>
    </w:pPr>
  </w:style>
  <w:style w:type="character" w:customStyle="1" w:styleId="WingdingSymbols">
    <w:name w:val="Wingding Symbols"/>
    <w:rsid w:val="001A1C50"/>
    <w:rPr>
      <w:rFonts w:ascii="Wingdings" w:hAnsi="Wingdings"/>
    </w:rPr>
  </w:style>
  <w:style w:type="paragraph" w:customStyle="1" w:styleId="TableHeading">
    <w:name w:val="Table Heading"/>
    <w:basedOn w:val="HeadingBase"/>
    <w:rsid w:val="001A1C50"/>
    <w:pPr>
      <w:keepLines/>
      <w:pBdr>
        <w:bottom w:val="single" w:sz="6" w:space="1" w:color="918585"/>
      </w:pBdr>
      <w:spacing w:before="240"/>
    </w:pPr>
  </w:style>
  <w:style w:type="character" w:customStyle="1" w:styleId="HotSpot">
    <w:name w:val="HotSpot"/>
    <w:rsid w:val="001A1C50"/>
    <w:rPr>
      <w:color w:val="0033CC"/>
      <w:u w:val="none"/>
    </w:rPr>
  </w:style>
  <w:style w:type="paragraph" w:customStyle="1" w:styleId="BodyTextRight">
    <w:name w:val="Body Text Right"/>
    <w:basedOn w:val="BodyText"/>
    <w:rsid w:val="001A1C50"/>
    <w:pPr>
      <w:spacing w:before="0" w:after="0"/>
      <w:jc w:val="right"/>
    </w:pPr>
  </w:style>
  <w:style w:type="paragraph" w:styleId="Index3">
    <w:name w:val="index 3"/>
    <w:basedOn w:val="ListNumber2"/>
    <w:next w:val="Normal"/>
    <w:semiHidden/>
    <w:rsid w:val="001A1C50"/>
    <w:pPr>
      <w:numPr>
        <w:numId w:val="0"/>
      </w:numPr>
      <w:tabs>
        <w:tab w:val="right" w:leader="dot" w:pos="4176"/>
      </w:tabs>
    </w:pPr>
  </w:style>
  <w:style w:type="paragraph" w:styleId="ListNumber2">
    <w:name w:val="List Number 2"/>
    <w:basedOn w:val="List2"/>
    <w:rsid w:val="001A1C50"/>
    <w:pPr>
      <w:numPr>
        <w:numId w:val="8"/>
      </w:numPr>
      <w:tabs>
        <w:tab w:val="clear" w:pos="1060"/>
      </w:tabs>
    </w:pPr>
  </w:style>
  <w:style w:type="paragraph" w:customStyle="1" w:styleId="MarginNote">
    <w:name w:val="Margin Note"/>
    <w:basedOn w:val="BodyText"/>
    <w:rsid w:val="001A1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C50"/>
    <w:rPr>
      <w:sz w:val="32"/>
    </w:rPr>
  </w:style>
  <w:style w:type="paragraph" w:customStyle="1" w:styleId="HeadingProcedure">
    <w:name w:val="Heading Procedure"/>
    <w:basedOn w:val="HeadingBase"/>
    <w:next w:val="Normal"/>
    <w:rsid w:val="001A1C50"/>
    <w:pPr>
      <w:tabs>
        <w:tab w:val="left" w:pos="0"/>
      </w:tabs>
      <w:spacing w:before="120" w:after="60"/>
    </w:pPr>
    <w:rPr>
      <w:i/>
      <w:color w:val="918585"/>
      <w:sz w:val="22"/>
    </w:rPr>
  </w:style>
  <w:style w:type="paragraph" w:customStyle="1" w:styleId="TableBodyText">
    <w:name w:val="Table Body Text"/>
    <w:basedOn w:val="BodyText"/>
    <w:rsid w:val="001A1C50"/>
    <w:pPr>
      <w:spacing w:before="60" w:after="60"/>
    </w:pPr>
  </w:style>
  <w:style w:type="paragraph" w:styleId="ListContinue">
    <w:name w:val="List Continue"/>
    <w:basedOn w:val="List"/>
    <w:rsid w:val="001A1C50"/>
    <w:pPr>
      <w:ind w:firstLine="0"/>
    </w:pPr>
  </w:style>
  <w:style w:type="paragraph" w:customStyle="1" w:styleId="ListNote">
    <w:name w:val="List Note"/>
    <w:basedOn w:val="List"/>
    <w:rsid w:val="001A1C50"/>
    <w:pPr>
      <w:pBdr>
        <w:top w:val="single" w:sz="6" w:space="2" w:color="918585"/>
        <w:bottom w:val="single" w:sz="6" w:space="2" w:color="918585"/>
      </w:pBdr>
      <w:tabs>
        <w:tab w:val="left" w:pos="1021"/>
      </w:tabs>
      <w:ind w:firstLine="0"/>
    </w:pPr>
  </w:style>
  <w:style w:type="paragraph" w:customStyle="1" w:styleId="Warning">
    <w:name w:val="Warning"/>
    <w:basedOn w:val="BodyText"/>
    <w:rsid w:val="001A1C50"/>
    <w:pPr>
      <w:shd w:val="clear" w:color="auto" w:fill="D9D9D9"/>
      <w:tabs>
        <w:tab w:val="left" w:pos="992"/>
      </w:tabs>
      <w:ind w:left="119" w:right="119"/>
    </w:pPr>
    <w:rPr>
      <w:sz w:val="20"/>
    </w:rPr>
  </w:style>
  <w:style w:type="paragraph" w:customStyle="1" w:styleId="MarginIcons">
    <w:name w:val="Margin Icons"/>
    <w:basedOn w:val="BodyText"/>
    <w:rsid w:val="001A1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C50"/>
    <w:rPr>
      <w:rFonts w:ascii="Courier New" w:hAnsi="Courier New"/>
    </w:rPr>
  </w:style>
  <w:style w:type="paragraph" w:customStyle="1" w:styleId="NoteBullet">
    <w:name w:val="Note Bullet"/>
    <w:basedOn w:val="Note"/>
    <w:rsid w:val="001A1C50"/>
    <w:pPr>
      <w:tabs>
        <w:tab w:val="clear" w:pos="680"/>
      </w:tabs>
      <w:spacing w:before="60" w:after="60"/>
    </w:pPr>
  </w:style>
  <w:style w:type="paragraph" w:customStyle="1" w:styleId="SubHeading2">
    <w:name w:val="SubHeading2"/>
    <w:basedOn w:val="HeadingBase"/>
    <w:rsid w:val="001A1C50"/>
    <w:pPr>
      <w:spacing w:before="240" w:after="60"/>
    </w:pPr>
    <w:rPr>
      <w:sz w:val="20"/>
    </w:rPr>
  </w:style>
  <w:style w:type="paragraph" w:customStyle="1" w:styleId="SubHeading1">
    <w:name w:val="SubHeading1"/>
    <w:basedOn w:val="HeadingBase"/>
    <w:rsid w:val="001A1C50"/>
    <w:pPr>
      <w:spacing w:before="240" w:after="60"/>
    </w:pPr>
    <w:rPr>
      <w:color w:val="918585"/>
      <w:sz w:val="22"/>
    </w:rPr>
  </w:style>
  <w:style w:type="paragraph" w:customStyle="1" w:styleId="SideHeading">
    <w:name w:val="Side Heading"/>
    <w:basedOn w:val="HeadingBase"/>
    <w:rsid w:val="001A1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C50"/>
    <w:pPr>
      <w:numPr>
        <w:numId w:val="9"/>
      </w:numPr>
    </w:pPr>
  </w:style>
  <w:style w:type="paragraph" w:styleId="PlainText">
    <w:name w:val="Plain Text"/>
    <w:basedOn w:val="Normal"/>
    <w:link w:val="PlainTextChar"/>
    <w:rsid w:val="001A1C50"/>
    <w:rPr>
      <w:sz w:val="20"/>
    </w:rPr>
  </w:style>
  <w:style w:type="character" w:customStyle="1" w:styleId="PlainTextChar">
    <w:name w:val="Plain Text Char"/>
    <w:basedOn w:val="DefaultParagraphFont"/>
    <w:link w:val="PlainText"/>
    <w:rsid w:val="001A1C50"/>
    <w:rPr>
      <w:rFonts w:ascii="Courier New" w:eastAsia="Times New Roman" w:hAnsi="Courier New" w:cs="Times New Roman"/>
      <w:sz w:val="20"/>
      <w:szCs w:val="20"/>
      <w:lang w:eastAsia="en-US"/>
    </w:rPr>
  </w:style>
  <w:style w:type="character" w:customStyle="1" w:styleId="MenuOption">
    <w:name w:val="Menu Option"/>
    <w:basedOn w:val="DefaultParagraphFont"/>
    <w:rsid w:val="001A1C50"/>
    <w:rPr>
      <w:b/>
      <w:smallCaps/>
    </w:rPr>
  </w:style>
  <w:style w:type="paragraph" w:customStyle="1" w:styleId="TableListNumber">
    <w:name w:val="Table List Number"/>
    <w:basedOn w:val="ListNumber"/>
    <w:rsid w:val="001A1C50"/>
    <w:pPr>
      <w:numPr>
        <w:numId w:val="0"/>
      </w:numPr>
    </w:pPr>
  </w:style>
  <w:style w:type="paragraph" w:styleId="TOC4">
    <w:name w:val="toc 4"/>
    <w:basedOn w:val="TOCBase"/>
    <w:next w:val="Normal"/>
    <w:semiHidden/>
    <w:rsid w:val="001A1C50"/>
    <w:pPr>
      <w:tabs>
        <w:tab w:val="right" w:leader="dot" w:pos="9071"/>
      </w:tabs>
      <w:ind w:left="1701"/>
    </w:pPr>
  </w:style>
  <w:style w:type="paragraph" w:customStyle="1" w:styleId="ListAlpha">
    <w:name w:val="List Alpha"/>
    <w:basedOn w:val="List"/>
    <w:rsid w:val="001A1C50"/>
    <w:pPr>
      <w:numPr>
        <w:numId w:val="7"/>
      </w:numPr>
    </w:pPr>
  </w:style>
  <w:style w:type="paragraph" w:customStyle="1" w:styleId="ListAlpha2">
    <w:name w:val="List Alpha 2"/>
    <w:basedOn w:val="List2"/>
    <w:rsid w:val="001A1C50"/>
    <w:pPr>
      <w:numPr>
        <w:numId w:val="6"/>
      </w:numPr>
    </w:pPr>
  </w:style>
  <w:style w:type="paragraph" w:styleId="List2">
    <w:name w:val="List 2"/>
    <w:basedOn w:val="BodyText"/>
    <w:rsid w:val="001A1C50"/>
    <w:pPr>
      <w:tabs>
        <w:tab w:val="left" w:pos="680"/>
      </w:tabs>
      <w:spacing w:before="60" w:after="60"/>
      <w:ind w:left="680" w:hanging="340"/>
    </w:pPr>
  </w:style>
  <w:style w:type="paragraph" w:styleId="List3">
    <w:name w:val="List 3"/>
    <w:basedOn w:val="BodyText"/>
    <w:rsid w:val="001A1C50"/>
    <w:pPr>
      <w:tabs>
        <w:tab w:val="left" w:pos="1021"/>
      </w:tabs>
      <w:spacing w:before="60" w:after="60"/>
      <w:ind w:left="1020" w:hanging="340"/>
    </w:pPr>
  </w:style>
  <w:style w:type="paragraph" w:styleId="List4">
    <w:name w:val="List 4"/>
    <w:basedOn w:val="BodyText"/>
    <w:rsid w:val="001A1C50"/>
    <w:pPr>
      <w:tabs>
        <w:tab w:val="left" w:pos="1361"/>
      </w:tabs>
      <w:spacing w:before="60" w:after="60"/>
      <w:ind w:left="1361" w:hanging="340"/>
    </w:pPr>
  </w:style>
  <w:style w:type="paragraph" w:styleId="List5">
    <w:name w:val="List 5"/>
    <w:basedOn w:val="BodyText"/>
    <w:rsid w:val="001A1C50"/>
    <w:pPr>
      <w:tabs>
        <w:tab w:val="left" w:pos="1701"/>
      </w:tabs>
      <w:spacing w:before="60" w:after="60"/>
      <w:ind w:left="1701" w:hanging="340"/>
    </w:pPr>
  </w:style>
  <w:style w:type="paragraph" w:styleId="ListBullet3">
    <w:name w:val="List Bullet 3"/>
    <w:basedOn w:val="List3"/>
    <w:rsid w:val="001A1C50"/>
    <w:pPr>
      <w:numPr>
        <w:numId w:val="12"/>
      </w:numPr>
      <w:tabs>
        <w:tab w:val="clear" w:pos="1021"/>
      </w:tabs>
      <w:ind w:left="1037" w:hanging="357"/>
    </w:pPr>
  </w:style>
  <w:style w:type="paragraph" w:styleId="ListBullet4">
    <w:name w:val="List Bullet 4"/>
    <w:basedOn w:val="List4"/>
    <w:rsid w:val="001A1C50"/>
    <w:pPr>
      <w:numPr>
        <w:numId w:val="1"/>
      </w:numPr>
      <w:tabs>
        <w:tab w:val="clear" w:pos="1361"/>
      </w:tabs>
    </w:pPr>
  </w:style>
  <w:style w:type="paragraph" w:styleId="ListBullet5">
    <w:name w:val="List Bullet 5"/>
    <w:basedOn w:val="List5"/>
    <w:rsid w:val="001A1C50"/>
    <w:pPr>
      <w:numPr>
        <w:numId w:val="2"/>
      </w:numPr>
    </w:pPr>
  </w:style>
  <w:style w:type="paragraph" w:styleId="ListContinue2">
    <w:name w:val="List Continue 2"/>
    <w:basedOn w:val="List2"/>
    <w:rsid w:val="001A1C50"/>
    <w:pPr>
      <w:ind w:firstLine="0"/>
    </w:pPr>
  </w:style>
  <w:style w:type="paragraph" w:styleId="ListContinue3">
    <w:name w:val="List Continue 3"/>
    <w:basedOn w:val="List3"/>
    <w:rsid w:val="001A1C50"/>
    <w:pPr>
      <w:ind w:left="1021" w:firstLine="0"/>
    </w:pPr>
  </w:style>
  <w:style w:type="paragraph" w:styleId="ListContinue4">
    <w:name w:val="List Continue 4"/>
    <w:basedOn w:val="List4"/>
    <w:rsid w:val="001A1C50"/>
    <w:pPr>
      <w:ind w:firstLine="0"/>
    </w:pPr>
  </w:style>
  <w:style w:type="paragraph" w:styleId="ListContinue5">
    <w:name w:val="List Continue 5"/>
    <w:basedOn w:val="List5"/>
    <w:rsid w:val="001A1C50"/>
    <w:pPr>
      <w:ind w:firstLine="0"/>
    </w:pPr>
  </w:style>
  <w:style w:type="paragraph" w:styleId="ListNumber3">
    <w:name w:val="List Number 3"/>
    <w:basedOn w:val="List3"/>
    <w:rsid w:val="001A1C50"/>
    <w:pPr>
      <w:numPr>
        <w:numId w:val="3"/>
      </w:numPr>
    </w:pPr>
  </w:style>
  <w:style w:type="paragraph" w:styleId="ListNumber4">
    <w:name w:val="List Number 4"/>
    <w:basedOn w:val="List4"/>
    <w:rsid w:val="001A1C50"/>
    <w:pPr>
      <w:numPr>
        <w:numId w:val="4"/>
      </w:numPr>
    </w:pPr>
  </w:style>
  <w:style w:type="paragraph" w:styleId="ListNumber5">
    <w:name w:val="List Number 5"/>
    <w:basedOn w:val="List5"/>
    <w:rsid w:val="001A1C50"/>
    <w:pPr>
      <w:numPr>
        <w:numId w:val="5"/>
      </w:numPr>
    </w:pPr>
  </w:style>
  <w:style w:type="paragraph" w:styleId="BlockText">
    <w:name w:val="Block Text"/>
    <w:basedOn w:val="Normal"/>
    <w:rsid w:val="001A1C50"/>
    <w:pPr>
      <w:spacing w:after="120"/>
      <w:ind w:left="1440" w:right="1440"/>
    </w:pPr>
  </w:style>
  <w:style w:type="character" w:customStyle="1" w:styleId="Subscript">
    <w:name w:val="Subscript"/>
    <w:basedOn w:val="DefaultParagraphFont"/>
    <w:rsid w:val="001A1C50"/>
    <w:rPr>
      <w:sz w:val="16"/>
      <w:vertAlign w:val="subscript"/>
    </w:rPr>
  </w:style>
  <w:style w:type="character" w:customStyle="1" w:styleId="Superscript">
    <w:name w:val="Superscript"/>
    <w:basedOn w:val="DefaultParagraphFont"/>
    <w:rsid w:val="001A1C50"/>
    <w:rPr>
      <w:sz w:val="16"/>
      <w:vertAlign w:val="superscript"/>
    </w:rPr>
  </w:style>
  <w:style w:type="character" w:customStyle="1" w:styleId="Symbols">
    <w:name w:val="Symbols"/>
    <w:basedOn w:val="DefaultParagraphFont"/>
    <w:rsid w:val="001A1C50"/>
    <w:rPr>
      <w:rFonts w:ascii="Symbol" w:hAnsi="Symbol"/>
    </w:rPr>
  </w:style>
  <w:style w:type="character" w:customStyle="1" w:styleId="MenuOptions">
    <w:name w:val="Menu Options"/>
    <w:basedOn w:val="DefaultParagraphFont"/>
    <w:rsid w:val="001A1C50"/>
    <w:rPr>
      <w:rFonts w:ascii="Arial Narrow" w:hAnsi="Arial Narrow"/>
      <w:smallCaps/>
    </w:rPr>
  </w:style>
  <w:style w:type="character" w:customStyle="1" w:styleId="Buttons">
    <w:name w:val="Buttons"/>
    <w:basedOn w:val="DefaultParagraphFont"/>
    <w:rsid w:val="001A1C50"/>
    <w:rPr>
      <w:b/>
    </w:rPr>
  </w:style>
  <w:style w:type="character" w:customStyle="1" w:styleId="Underlined">
    <w:name w:val="Underlined"/>
    <w:basedOn w:val="DefaultParagraphFont"/>
    <w:rsid w:val="001A1C50"/>
    <w:rPr>
      <w:u w:val="single"/>
    </w:rPr>
  </w:style>
  <w:style w:type="paragraph" w:customStyle="1" w:styleId="TableBodyTextRight">
    <w:name w:val="Table Body Text Right"/>
    <w:basedOn w:val="TableBodyText"/>
    <w:rsid w:val="001A1C50"/>
    <w:pPr>
      <w:widowControl w:val="0"/>
      <w:autoSpaceDE w:val="0"/>
      <w:autoSpaceDN w:val="0"/>
      <w:adjustRightInd w:val="0"/>
      <w:jc w:val="right"/>
    </w:pPr>
    <w:rPr>
      <w:rFonts w:cs="Arial"/>
      <w:szCs w:val="18"/>
    </w:rPr>
  </w:style>
  <w:style w:type="paragraph" w:customStyle="1" w:styleId="CopyrightText">
    <w:name w:val="Copyright Text"/>
    <w:basedOn w:val="BodyText"/>
    <w:rsid w:val="001A1C50"/>
    <w:rPr>
      <w:sz w:val="18"/>
    </w:rPr>
  </w:style>
  <w:style w:type="paragraph" w:customStyle="1" w:styleId="BodySmallRight">
    <w:name w:val="Body Small Right"/>
    <w:basedOn w:val="BodyTextRight"/>
    <w:rsid w:val="001A1C50"/>
    <w:rPr>
      <w:sz w:val="18"/>
      <w:szCs w:val="18"/>
    </w:rPr>
  </w:style>
  <w:style w:type="paragraph" w:customStyle="1" w:styleId="MarginEdition">
    <w:name w:val="Margin Edition"/>
    <w:basedOn w:val="MarginNote"/>
    <w:rsid w:val="001A1C50"/>
    <w:pPr>
      <w:spacing w:before="0" w:after="0"/>
    </w:pPr>
    <w:rPr>
      <w:rFonts w:ascii="Times New Roman" w:hAnsi="Times New Roman"/>
      <w:color w:val="999999"/>
    </w:rPr>
  </w:style>
  <w:style w:type="paragraph" w:customStyle="1" w:styleId="Spacer">
    <w:name w:val="Spacer"/>
    <w:basedOn w:val="Normal"/>
    <w:rsid w:val="001A1C50"/>
    <w:rPr>
      <w:sz w:val="2"/>
      <w:szCs w:val="2"/>
    </w:rPr>
  </w:style>
  <w:style w:type="character" w:customStyle="1" w:styleId="Small">
    <w:name w:val="Small"/>
    <w:basedOn w:val="DefaultParagraphFont"/>
    <w:rsid w:val="001A1C50"/>
    <w:rPr>
      <w:sz w:val="16"/>
    </w:rPr>
  </w:style>
  <w:style w:type="paragraph" w:customStyle="1" w:styleId="WideTable">
    <w:name w:val="Wide Table"/>
    <w:basedOn w:val="Normal"/>
    <w:rsid w:val="001A1C50"/>
    <w:pPr>
      <w:ind w:left="-1418"/>
    </w:pPr>
    <w:rPr>
      <w:sz w:val="2"/>
      <w:szCs w:val="2"/>
    </w:rPr>
  </w:style>
  <w:style w:type="character" w:styleId="PageNumber">
    <w:name w:val="page number"/>
    <w:basedOn w:val="DefaultParagraphFont"/>
    <w:rsid w:val="001A1C50"/>
  </w:style>
  <w:style w:type="paragraph" w:styleId="Quote">
    <w:name w:val="Quote"/>
    <w:basedOn w:val="Heading1"/>
    <w:link w:val="QuoteChar"/>
    <w:qFormat/>
    <w:rsid w:val="001A1C50"/>
    <w:rPr>
      <w:b w:val="0"/>
      <w:sz w:val="72"/>
      <w:szCs w:val="72"/>
      <w:lang w:val="en-NZ"/>
    </w:rPr>
  </w:style>
  <w:style w:type="character" w:customStyle="1" w:styleId="QuoteChar">
    <w:name w:val="Quote Char"/>
    <w:basedOn w:val="DefaultParagraphFont"/>
    <w:link w:val="Quote"/>
    <w:rsid w:val="001A1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C50"/>
    <w:pPr>
      <w:pageBreakBefore/>
    </w:pPr>
  </w:style>
  <w:style w:type="paragraph" w:customStyle="1" w:styleId="Border">
    <w:name w:val="Border"/>
    <w:basedOn w:val="Normal"/>
    <w:qFormat/>
    <w:rsid w:val="001A1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C50"/>
    <w:rPr>
      <w:b/>
      <w:bCs/>
      <w:i/>
      <w:iCs/>
      <w:color w:val="auto"/>
    </w:rPr>
  </w:style>
  <w:style w:type="paragraph" w:styleId="IntenseQuote">
    <w:name w:val="Intense Quote"/>
    <w:basedOn w:val="Normal"/>
    <w:next w:val="Normal"/>
    <w:link w:val="IntenseQuoteChar"/>
    <w:uiPriority w:val="30"/>
    <w:qFormat/>
    <w:rsid w:val="001A1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C50"/>
    <w:rPr>
      <w:smallCaps/>
      <w:color w:val="auto"/>
      <w:u w:val="single"/>
    </w:rPr>
  </w:style>
  <w:style w:type="character" w:styleId="IntenseReference">
    <w:name w:val="Intense Reference"/>
    <w:basedOn w:val="DefaultParagraphFont"/>
    <w:uiPriority w:val="32"/>
    <w:qFormat/>
    <w:rsid w:val="001A1C50"/>
    <w:rPr>
      <w:b/>
      <w:bCs/>
      <w:smallCaps/>
      <w:color w:val="auto"/>
      <w:spacing w:val="5"/>
      <w:u w:val="single"/>
    </w:rPr>
  </w:style>
  <w:style w:type="paragraph" w:customStyle="1" w:styleId="2ColumnHeading">
    <w:name w:val="2Column Heading"/>
    <w:basedOn w:val="BodyText"/>
    <w:qFormat/>
    <w:rsid w:val="001A1C50"/>
    <w:pPr>
      <w:spacing w:after="60"/>
      <w:ind w:left="-2268"/>
    </w:pPr>
    <w:rPr>
      <w:b/>
    </w:rPr>
  </w:style>
  <w:style w:type="paragraph" w:customStyle="1" w:styleId="Heading1TOC">
    <w:name w:val="Heading1 TOC"/>
    <w:basedOn w:val="Normal"/>
    <w:qFormat/>
    <w:rsid w:val="001A1C50"/>
    <w:pPr>
      <w:spacing w:before="240" w:after="120"/>
    </w:pPr>
    <w:rPr>
      <w:rFonts w:ascii="Times New Roman" w:hAnsi="Times New Roman"/>
      <w:b/>
      <w:sz w:val="32"/>
    </w:rPr>
  </w:style>
  <w:style w:type="paragraph" w:customStyle="1" w:styleId="Heading2TOC">
    <w:name w:val="Heading2 TOC"/>
    <w:basedOn w:val="Normal"/>
    <w:qFormat/>
    <w:rsid w:val="001A1C50"/>
    <w:pPr>
      <w:spacing w:before="240" w:after="60"/>
    </w:pPr>
    <w:rPr>
      <w:rFonts w:ascii="Times New Roman" w:hAnsi="Times New Roman"/>
      <w:b/>
      <w:sz w:val="28"/>
    </w:rPr>
  </w:style>
  <w:style w:type="character" w:customStyle="1" w:styleId="Underline">
    <w:name w:val="Underline"/>
    <w:basedOn w:val="DefaultParagraphFont"/>
    <w:qFormat/>
    <w:rsid w:val="001A1C50"/>
    <w:rPr>
      <w:u w:val="single"/>
    </w:rPr>
  </w:style>
  <w:style w:type="character" w:customStyle="1" w:styleId="BoldandItalics">
    <w:name w:val="Bold and Italics"/>
    <w:qFormat/>
    <w:rsid w:val="001A1C50"/>
    <w:rPr>
      <w:b/>
      <w:i/>
      <w:u w:val="none"/>
    </w:rPr>
  </w:style>
  <w:style w:type="paragraph" w:styleId="BalloonText">
    <w:name w:val="Balloon Text"/>
    <w:basedOn w:val="Normal"/>
    <w:link w:val="BalloonTextChar"/>
    <w:rsid w:val="001A1C50"/>
    <w:rPr>
      <w:rFonts w:ascii="Tahoma" w:hAnsi="Tahoma" w:cs="Tahoma"/>
      <w:sz w:val="16"/>
      <w:szCs w:val="16"/>
    </w:rPr>
  </w:style>
  <w:style w:type="character" w:customStyle="1" w:styleId="BalloonTextChar">
    <w:name w:val="Balloon Text Char"/>
    <w:basedOn w:val="DefaultParagraphFont"/>
    <w:link w:val="BalloonText"/>
    <w:rsid w:val="001A1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C50"/>
    <w:rPr>
      <w:b/>
      <w:color w:val="660033"/>
      <w:spacing w:val="0"/>
    </w:rPr>
  </w:style>
  <w:style w:type="paragraph" w:customStyle="1" w:styleId="Nameditemlist">
    <w:name w:val="Named item list"/>
    <w:basedOn w:val="BodyText"/>
    <w:qFormat/>
    <w:rsid w:val="001A1C50"/>
    <w:pPr>
      <w:tabs>
        <w:tab w:val="left" w:pos="2835"/>
      </w:tabs>
      <w:ind w:left="2835" w:hanging="2835"/>
    </w:pPr>
  </w:style>
  <w:style w:type="paragraph" w:customStyle="1" w:styleId="BodyTextnopadding">
    <w:name w:val="Body Text no padding"/>
    <w:basedOn w:val="BodyText"/>
    <w:qFormat/>
    <w:rsid w:val="001A1C50"/>
    <w:pPr>
      <w:spacing w:before="0" w:after="0"/>
    </w:pPr>
  </w:style>
  <w:style w:type="paragraph" w:customStyle="1" w:styleId="BodyTextBold">
    <w:name w:val="Body Text Bold"/>
    <w:basedOn w:val="BodyText"/>
    <w:qFormat/>
    <w:rsid w:val="001A1C50"/>
    <w:rPr>
      <w:b/>
    </w:rPr>
  </w:style>
  <w:style w:type="character" w:styleId="Hyperlink">
    <w:name w:val="Hyperlink"/>
    <w:basedOn w:val="DefaultParagraphFont"/>
    <w:uiPriority w:val="99"/>
    <w:unhideWhenUsed/>
    <w:rsid w:val="009C13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6012</Characters>
  <Application>Microsoft Office Word</Application>
  <DocSecurity>0</DocSecurity>
  <Lines>250</Lines>
  <Paragraphs>113</Paragraphs>
  <ScaleCrop>false</ScaleCrop>
  <Company>Author-it Software Corporation Ltd.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UETTDRSB29 Maintain capacitor bank equipment for voltage regulation</dc:title>
  <dc:subject>Approved</dc:subject>
  <dc:creator>Australian Industry Standards</dc:creator>
  <cp:keywords>Release: 1</cp:keywords>
  <dc:description>Review Date: 12 April 2008</dc:description>
  <cp:lastModifiedBy>HSD_TPCMSd.prod</cp:lastModifiedBy>
  <cp:revision>3</cp:revision>
  <dcterms:created xsi:type="dcterms:W3CDTF">2022-07-19T03:25:00Z</dcterms:created>
  <dcterms:modified xsi:type="dcterms:W3CDTF">2022-07-19T03:25:00Z</dcterms:modified>
</cp:coreProperties>
</file>