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16D" w:rsidP="00FD216D">
      <w:pPr>
        <w:pStyle w:val="Title"/>
      </w:pPr>
      <w:r>
        <w:fldChar w:fldCharType="begin"/>
      </w:r>
      <w:r>
        <w:instrText xml:space="preserve"> TITLE   \* MERGEFORMAT </w:instrText>
      </w:r>
      <w:r>
        <w:fldChar w:fldCharType="separate"/>
      </w:r>
      <w:r>
        <w:t>UETTDRSB26 Install high current d.c. equipment and switchgear</w:t>
      </w:r>
      <w:r>
        <w:fldChar w:fldCharType="end"/>
      </w:r>
    </w:p>
    <w:p w:rsidR="00FD216D" w:rsidP="00FD216D">
      <w:pPr>
        <w:pStyle w:val="Version"/>
        <w:sectPr w:rsidSect="002E6E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EB6" w:rsidP="002E6EB6">
      <w:pPr>
        <w:pStyle w:val="SuperHeading"/>
      </w:pPr>
      <w:r w:rsidRPr="002E6EB6">
        <w:t>UETTDRSB26 Install high current d.c. equipment and switchgear</w:t>
      </w:r>
    </w:p>
    <w:p w:rsidR="00000000" w:rsidRPr="002E6EB6" w:rsidP="002E6EB6">
      <w:pPr>
        <w:pStyle w:val="Heading1"/>
      </w:pPr>
      <w:bookmarkStart w:id="1" w:name="O_1004530"/>
      <w:bookmarkEnd w:id="1"/>
      <w:r w:rsidRPr="002E6EB6">
        <w:t>Modification History</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Release 1. This is the first release of this unit of competency in the UET Transmission, Distribution and Rail Sector Training Package.</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2" w:name="O_1004531"/>
      <w:bookmarkEnd w:id="2"/>
      <w:r w:rsidRPr="002E6EB6">
        <w:t>Application</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This unit involves the skills and knowledge required to install high current equipment and switchgear in the electricity supply industry (ESI).</w:t>
            </w:r>
          </w:p>
          <w:p w:rsidR="00000000" w:rsidRPr="002E6EB6" w:rsidP="002E6EB6">
            <w:pPr>
              <w:pStyle w:val="BodyText"/>
            </w:pPr>
            <w:r w:rsidRPr="002E6EB6">
              <w:t>It includes installing direct current (d.c.) switchgear and other equipment, such as rectifier transformers, rec</w:t>
            </w:r>
            <w:r w:rsidRPr="002E6EB6">
              <w:t>tifiers, invertors, isolators and links, harmonic filters, negative reactors and energy dissipation resistors EDR’s to ensure correct installation to workplace procedures and industry standards.</w:t>
            </w:r>
          </w:p>
          <w:p w:rsidR="00000000" w:rsidRPr="002E6EB6" w:rsidP="002E6EB6">
            <w:pPr>
              <w:pStyle w:val="BodyText"/>
            </w:pPr>
            <w:r w:rsidRPr="002E6EB6">
              <w:t>It also includes isolating systems and/or circuits for safe w</w:t>
            </w:r>
            <w:r w:rsidRPr="002E6EB6">
              <w:t xml:space="preserve">orking in accordance with work plans, visual inspections and necessary checks to ensure equipment and components have been correctly installed in accordance with design and are in a safe condition for pre-commissioning tests prior to energisation, as well </w:t>
            </w:r>
            <w:r w:rsidRPr="002E6EB6">
              <w:t>as updating installation data and relevant quality assurance documentation.</w:t>
            </w:r>
          </w:p>
          <w:p w:rsidR="00000000" w:rsidRPr="002E6EB6" w:rsidP="002E6EB6">
            <w:pPr>
              <w:pStyle w:val="BodyText"/>
            </w:pPr>
            <w:r w:rsidRPr="002E6EB6">
              <w:t>The application of the skills and knowledge described in this unit may require a licence/registration to practice in the workplace.</w:t>
            </w:r>
          </w:p>
          <w:p w:rsidR="00000000" w:rsidRPr="002E6EB6" w:rsidP="002E6EB6">
            <w:pPr>
              <w:pStyle w:val="BodyText"/>
            </w:pPr>
            <w:r w:rsidRPr="002E6EB6">
              <w:t>Other conditions may apply under state and terri</w:t>
            </w:r>
            <w:r w:rsidRPr="002E6EB6">
              <w:t>tory legislative and regulatory licensing requirements which must be confirmed prior to commencing this unit.</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3" w:name="O_1004532"/>
      <w:bookmarkEnd w:id="3"/>
      <w:r w:rsidRPr="002E6EB6">
        <w:t>Pre-requisite Unit</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Common Unit Group</w:t>
            </w:r>
          </w:p>
          <w:p w:rsidR="00000000" w:rsidRPr="002E6EB6" w:rsidP="002E6EB6">
            <w:pPr>
              <w:pStyle w:val="BodyText"/>
            </w:pPr>
            <w:r w:rsidRPr="002E6EB6">
              <w:t>UEENEEE101A Apply Occupational Health and Safety regulations, codes and practices in the</w:t>
            </w:r>
            <w:r w:rsidRPr="002E6EB6">
              <w:t xml:space="preserve"> workplace</w:t>
            </w:r>
          </w:p>
          <w:p w:rsidR="00000000" w:rsidRPr="002E6EB6" w:rsidP="002E6EB6">
            <w:pPr>
              <w:pStyle w:val="BodyText"/>
            </w:pPr>
            <w:r w:rsidRPr="002E6EB6">
              <w:t>UEENEEE102A Fabricate, assemble and dismantle utilities industry components</w:t>
            </w:r>
          </w:p>
          <w:p w:rsidR="00000000" w:rsidRPr="002E6EB6" w:rsidP="002E6EB6">
            <w:pPr>
              <w:pStyle w:val="BodyText"/>
            </w:pPr>
            <w:r w:rsidRPr="002E6EB6">
              <w:t>UEENEEE104A Solve problems in d.c. circuits</w:t>
            </w:r>
          </w:p>
          <w:p w:rsidR="00000000" w:rsidRPr="002E6EB6" w:rsidP="002E6EB6">
            <w:pPr>
              <w:pStyle w:val="BodyText"/>
            </w:pPr>
            <w:r w:rsidRPr="002E6EB6">
              <w:t>UEENEEE105A Fix and secure electrotechnology equipment</w:t>
            </w:r>
          </w:p>
          <w:p w:rsidR="00000000" w:rsidRPr="002E6EB6" w:rsidP="002E6EB6">
            <w:pPr>
              <w:pStyle w:val="BodyText"/>
            </w:pPr>
            <w:r w:rsidRPr="002E6EB6">
              <w:t>UEENEEE107A Use drawings, diagrams, schedules, standards, codes and sp</w:t>
            </w:r>
            <w:r w:rsidRPr="002E6EB6">
              <w:t>ecifications</w:t>
            </w:r>
          </w:p>
          <w:p w:rsidR="00000000" w:rsidRPr="002E6EB6" w:rsidP="002E6EB6">
            <w:pPr>
              <w:pStyle w:val="BodyText"/>
            </w:pPr>
            <w:r w:rsidRPr="002E6EB6">
              <w:t>UEENEEE137A Document and apply measures to control OHS risks associated with electrotechnology work</w:t>
            </w:r>
          </w:p>
          <w:p w:rsidR="00000000" w:rsidRPr="002E6EB6" w:rsidP="002E6EB6">
            <w:pPr>
              <w:pStyle w:val="BodyText"/>
            </w:pPr>
            <w:r w:rsidRPr="002E6EB6">
              <w:t>UEENEEG006A Solve problems in single and three phase low voltage machines</w:t>
            </w:r>
          </w:p>
          <w:p w:rsidR="00000000" w:rsidRPr="002E6EB6" w:rsidP="002E6EB6">
            <w:pPr>
              <w:pStyle w:val="BodyText"/>
            </w:pPr>
            <w:r w:rsidRPr="002E6EB6">
              <w:t>UEENEEG033A Solve problems in single and three phase low voltage electrical apparatus and circuits</w:t>
            </w:r>
          </w:p>
          <w:p w:rsidR="00000000" w:rsidRPr="002E6EB6" w:rsidP="002E6EB6">
            <w:pPr>
              <w:pStyle w:val="BodyText"/>
            </w:pPr>
            <w:r w:rsidRPr="002E6EB6">
              <w:t>UEENEEG063A Arrange circuits, control and protection for general electrical installations</w:t>
            </w:r>
          </w:p>
          <w:p w:rsidR="00000000" w:rsidRPr="002E6EB6" w:rsidP="002E6EB6">
            <w:pPr>
              <w:pStyle w:val="BodyText"/>
            </w:pPr>
            <w:r w:rsidRPr="002E6EB6">
              <w:t>UEENEEG101A Solve problems in electromagnetic devices and related c</w:t>
            </w:r>
            <w:r w:rsidRPr="002E6EB6">
              <w:t>ircuits</w:t>
            </w:r>
          </w:p>
          <w:p w:rsidR="00000000" w:rsidRPr="002E6EB6" w:rsidP="002E6EB6">
            <w:pPr>
              <w:pStyle w:val="BodyText"/>
            </w:pPr>
            <w:r w:rsidRPr="002E6EB6">
              <w:t>UEENEEG102A Solve problems in low voltage a.c. circuits</w:t>
            </w:r>
          </w:p>
          <w:p w:rsidR="00000000" w:rsidRPr="002E6EB6" w:rsidP="002E6EB6">
            <w:pPr>
              <w:pStyle w:val="BodyText"/>
            </w:pPr>
            <w:r w:rsidRPr="002E6EB6">
              <w:t>UEENEEG103A Install low voltage wiring and accessories</w:t>
            </w:r>
          </w:p>
          <w:p w:rsidR="00000000" w:rsidRPr="002E6EB6" w:rsidP="002E6EB6">
            <w:pPr>
              <w:pStyle w:val="BodyText"/>
            </w:pPr>
            <w:r w:rsidRPr="002E6EB6">
              <w:t>UEENEEG106A Terminate cables, cords and accessories for low voltage circuits</w:t>
            </w:r>
          </w:p>
          <w:p w:rsidR="00000000" w:rsidRPr="002E6EB6" w:rsidP="002E6EB6">
            <w:pPr>
              <w:pStyle w:val="BodyText"/>
            </w:pPr>
            <w:r w:rsidRPr="002E6EB6">
              <w:t>UEENEEG107A Select wiring systems and cables for low voltage</w:t>
            </w:r>
            <w:r w:rsidRPr="002E6EB6">
              <w:t xml:space="preserve"> general electrical installations</w:t>
            </w:r>
          </w:p>
          <w:p w:rsidR="00000000" w:rsidRPr="002E6EB6" w:rsidP="002E6EB6">
            <w:pPr>
              <w:pStyle w:val="BodyText"/>
            </w:pPr>
            <w:r w:rsidRPr="002E6EB6">
              <w:t>UEENEEG108A Trouble-shoot and repair faults in low voltage electrical apparatus and circuits</w:t>
            </w:r>
          </w:p>
          <w:p w:rsidR="00000000" w:rsidRPr="002E6EB6" w:rsidP="002E6EB6">
            <w:pPr>
              <w:pStyle w:val="BodyText"/>
            </w:pPr>
            <w:r w:rsidRPr="002E6EB6">
              <w:t>UEENEEG109A Develop and connect electrical control circuits</w:t>
            </w:r>
          </w:p>
          <w:p w:rsidR="00000000" w:rsidRPr="002E6EB6" w:rsidP="002E6EB6">
            <w:pPr>
              <w:pStyle w:val="BodyText"/>
            </w:pPr>
            <w:r w:rsidRPr="002E6EB6">
              <w:t>UEENEEK142A Apply environmentally and sustainable procedures in the e</w:t>
            </w:r>
            <w:r w:rsidRPr="002E6EB6">
              <w:t>nergy sector</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4" w:name="O_1004533"/>
      <w:bookmarkEnd w:id="4"/>
      <w:r w:rsidRPr="002E6EB6">
        <w:t>Competency Field</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Substation</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5" w:name="O_1004534"/>
      <w:bookmarkEnd w:id="5"/>
      <w:r w:rsidRPr="002E6EB6">
        <w:t>Unit Sector</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Not applicable.</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6" w:name="O_1004535"/>
      <w:bookmarkEnd w:id="6"/>
      <w:r w:rsidRPr="002E6EB6">
        <w:t>Elements and Performance Criteria</w:t>
      </w:r>
    </w:p>
    <w:tbl>
      <w:tblPr>
        <w:tblW w:w="9358" w:type="dxa"/>
        <w:tblLayout w:type="fixed"/>
        <w:tblCellMar>
          <w:left w:w="62" w:type="dxa"/>
          <w:right w:w="62" w:type="dxa"/>
        </w:tblCellMar>
        <w:tblLook w:val="0000"/>
      </w:tblPr>
      <w:tblGrid>
        <w:gridCol w:w="307"/>
        <w:gridCol w:w="2669"/>
        <w:gridCol w:w="644"/>
        <w:gridCol w:w="5738"/>
      </w:tblGrid>
      <w:tr w:rsidTr="002E6EB6">
        <w:tblPrEx>
          <w:tblW w:w="9358" w:type="dxa"/>
          <w:tblLayout w:type="fixed"/>
          <w:tblCellMar>
            <w:left w:w="62" w:type="dxa"/>
            <w:right w:w="62" w:type="dxa"/>
          </w:tblCellMar>
          <w:tblLook w:val="0000"/>
        </w:tblPrEx>
        <w:trPr>
          <w:trHeight w:val="430"/>
        </w:trPr>
        <w:tc>
          <w:tcPr>
            <w:tcW w:w="2976" w:type="dxa"/>
            <w:gridSpan w:val="2"/>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ELEMENTS</w:t>
            </w:r>
          </w:p>
        </w:tc>
        <w:tc>
          <w:tcPr>
            <w:tcW w:w="6382" w:type="dxa"/>
            <w:gridSpan w:val="2"/>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PERFORMANCE CRITERIA</w:t>
            </w:r>
          </w:p>
        </w:tc>
      </w:tr>
      <w:tr w:rsidTr="002E6EB6">
        <w:tblPrEx>
          <w:tblW w:w="9358" w:type="dxa"/>
          <w:tblLayout w:type="fixed"/>
          <w:tblCellMar>
            <w:left w:w="62" w:type="dxa"/>
            <w:right w:w="62" w:type="dxa"/>
          </w:tblCellMar>
          <w:tblLook w:val="0000"/>
        </w:tblPrEx>
        <w:trPr>
          <w:trHeight w:val="670"/>
        </w:trPr>
        <w:tc>
          <w:tcPr>
            <w:tcW w:w="2976" w:type="dxa"/>
            <w:gridSpan w:val="2"/>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Elements describe the essential outcomes.</w:t>
            </w:r>
          </w:p>
        </w:tc>
        <w:tc>
          <w:tcPr>
            <w:tcW w:w="6382" w:type="dxa"/>
            <w:gridSpan w:val="2"/>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Performance criteria describe the performance needed to demonstrate achievement of the element.</w:t>
            </w:r>
          </w:p>
        </w:tc>
      </w:tr>
      <w:tr w:rsidTr="002E6EB6">
        <w:tblPrEx>
          <w:tblW w:w="9358" w:type="dxa"/>
          <w:tblLayout w:type="fixed"/>
          <w:tblCellMar>
            <w:left w:w="62" w:type="dxa"/>
            <w:right w:w="62" w:type="dxa"/>
          </w:tblCellMar>
          <w:tblLook w:val="0000"/>
        </w:tblPrEx>
        <w:trPr>
          <w:trHeight w:val="898"/>
        </w:trPr>
        <w:tc>
          <w:tcPr>
            <w:tcW w:w="30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 xml:space="preserve">1 </w:t>
            </w:r>
          </w:p>
        </w:tc>
        <w:tc>
          <w:tcPr>
            <w:tcW w:w="2669"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Plan to install high current d.c. switchgear and equipment</w:t>
            </w: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1.1</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Work schedules, construction plans, drawings, workplace procedures and material lists are obtained and analysed</w:t>
            </w:r>
          </w:p>
        </w:tc>
      </w:tr>
      <w:tr w:rsidTr="002E6EB6">
        <w:tblPrEx>
          <w:tblW w:w="9358" w:type="dxa"/>
          <w:tblLayout w:type="fixed"/>
          <w:tblCellMar>
            <w:left w:w="62" w:type="dxa"/>
            <w:right w:w="62" w:type="dxa"/>
          </w:tblCellMar>
          <w:tblLook w:val="0000"/>
        </w:tblPrEx>
        <w:trPr>
          <w:trHeight w:val="911"/>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1.2</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Job requirements and workplace procedures are identified and communicated with relevant personnel</w:t>
            </w:r>
          </w:p>
        </w:tc>
      </w:tr>
      <w:tr w:rsidTr="002E6EB6">
        <w:tblPrEx>
          <w:tblW w:w="9358" w:type="dxa"/>
          <w:tblLayout w:type="fixed"/>
          <w:tblCellMar>
            <w:left w:w="62" w:type="dxa"/>
            <w:right w:w="62" w:type="dxa"/>
          </w:tblCellMar>
          <w:tblLook w:val="0000"/>
        </w:tblPrEx>
        <w:trPr>
          <w:trHeight w:val="1126"/>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1.3</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Hazards are identified, work health and safety (WHS)/occupational health and safety (OHS)risks assessed and control measures prioritised, implemented and monitored in accordance with workplace procedures</w:t>
            </w:r>
          </w:p>
        </w:tc>
      </w:tr>
      <w:tr w:rsidTr="002E6EB6">
        <w:tblPrEx>
          <w:tblW w:w="9358" w:type="dxa"/>
          <w:tblLayout w:type="fixed"/>
          <w:tblCellMar>
            <w:left w:w="62" w:type="dxa"/>
            <w:right w:w="62" w:type="dxa"/>
          </w:tblCellMar>
          <w:tblLook w:val="0000"/>
        </w:tblPrEx>
        <w:trPr>
          <w:trHeight w:val="1366"/>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1.4</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Work is prioritised and sequenced for complet</w:t>
            </w:r>
            <w:r w:rsidRPr="002E6EB6">
              <w:t>ion within acceptable timeframes following consultation with relevant personnel and in accordance with workplace procedures</w:t>
            </w:r>
          </w:p>
        </w:tc>
      </w:tr>
      <w:tr w:rsidTr="002E6EB6">
        <w:tblPrEx>
          <w:tblW w:w="9358" w:type="dxa"/>
          <w:tblLayout w:type="fixed"/>
          <w:tblCellMar>
            <w:left w:w="62" w:type="dxa"/>
            <w:right w:w="62" w:type="dxa"/>
          </w:tblCellMar>
          <w:tblLook w:val="0000"/>
        </w:tblPrEx>
        <w:trPr>
          <w:trHeight w:val="898"/>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1.5</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Risk control measures are identified, prioritised, implemented and evaluated against the work schedule</w:t>
            </w:r>
          </w:p>
        </w:tc>
      </w:tr>
      <w:tr w:rsidTr="002E6EB6">
        <w:tblPrEx>
          <w:tblW w:w="9358" w:type="dxa"/>
          <w:tblLayout w:type="fixed"/>
          <w:tblCellMar>
            <w:left w:w="62" w:type="dxa"/>
            <w:right w:w="62" w:type="dxa"/>
          </w:tblCellMar>
          <w:tblLook w:val="0000"/>
        </w:tblPrEx>
        <w:trPr>
          <w:trHeight w:val="898"/>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1.6</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Equipment, tools and personal protective equipment (PPE) required for work are identified, obtained and confirmed in working order</w:t>
            </w:r>
          </w:p>
        </w:tc>
      </w:tr>
      <w:tr w:rsidTr="002E6EB6">
        <w:tblPrEx>
          <w:tblW w:w="9358" w:type="dxa"/>
          <w:tblLayout w:type="fixed"/>
          <w:tblCellMar>
            <w:left w:w="62" w:type="dxa"/>
            <w:right w:w="62" w:type="dxa"/>
          </w:tblCellMar>
          <w:tblLook w:val="0000"/>
        </w:tblPrEx>
        <w:trPr>
          <w:trHeight w:val="1139"/>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1.7</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Liaison and communication issues with authorised personnel, authorities, clients and land owners are resolved to facil</w:t>
            </w:r>
            <w:r w:rsidRPr="002E6EB6">
              <w:t>itate work, as required</w:t>
            </w:r>
          </w:p>
        </w:tc>
      </w:tr>
      <w:tr w:rsidTr="002E6EB6">
        <w:tblPrEx>
          <w:tblW w:w="9358" w:type="dxa"/>
          <w:tblLayout w:type="fixed"/>
          <w:tblCellMar>
            <w:left w:w="62" w:type="dxa"/>
            <w:right w:w="62" w:type="dxa"/>
          </w:tblCellMar>
          <w:tblLook w:val="0000"/>
        </w:tblPrEx>
        <w:trPr>
          <w:trHeight w:val="898"/>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1.8</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Personnel participating in work are fully briefed and responsibilities confirmed in accordance with workplace procedures</w:t>
            </w:r>
          </w:p>
        </w:tc>
      </w:tr>
      <w:tr w:rsidTr="002E6EB6">
        <w:tblPrEx>
          <w:tblW w:w="9358" w:type="dxa"/>
          <w:tblLayout w:type="fixed"/>
          <w:tblCellMar>
            <w:left w:w="62" w:type="dxa"/>
            <w:right w:w="62" w:type="dxa"/>
          </w:tblCellMar>
          <w:tblLook w:val="0000"/>
        </w:tblPrEx>
        <w:trPr>
          <w:trHeight w:val="1139"/>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1.9</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Worksite is prepared to minimise risk, damage to property, commerce and individuals in accordance with workplace procedures</w:t>
            </w:r>
          </w:p>
        </w:tc>
      </w:tr>
      <w:tr w:rsidTr="002E6EB6">
        <w:tblPrEx>
          <w:tblW w:w="9358" w:type="dxa"/>
          <w:tblLayout w:type="fixed"/>
          <w:tblCellMar>
            <w:left w:w="62" w:type="dxa"/>
            <w:right w:w="62" w:type="dxa"/>
          </w:tblCellMar>
          <w:tblLook w:val="0000"/>
        </w:tblPrEx>
        <w:trPr>
          <w:trHeight w:val="1366"/>
        </w:trPr>
        <w:tc>
          <w:tcPr>
            <w:tcW w:w="30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2</w:t>
            </w:r>
          </w:p>
        </w:tc>
        <w:tc>
          <w:tcPr>
            <w:tcW w:w="2669"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Carry out installation of high current</w:t>
            </w:r>
            <w:r w:rsidRPr="002E6EB6">
              <w:t xml:space="preserve"> </w:t>
            </w:r>
            <w:r w:rsidRPr="002E6EB6">
              <w:rPr>
                <w:rStyle w:val="SpecialBold"/>
              </w:rPr>
              <w:t>d.c</w:t>
            </w:r>
            <w:r w:rsidRPr="002E6EB6">
              <w:t>.</w:t>
            </w:r>
            <w:r w:rsidRPr="002E6EB6">
              <w:rPr>
                <w:rStyle w:val="SpecialBold"/>
              </w:rPr>
              <w:t xml:space="preserve"> switchgear and equipment</w:t>
            </w: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2.1</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WHS/OHS, sustainable energy and environmental principles and practices are monitored and actioned to reduce incidents of accidents in accordance with workplace procedures</w:t>
            </w:r>
          </w:p>
        </w:tc>
      </w:tr>
      <w:tr w:rsidTr="002E6EB6">
        <w:tblPrEx>
          <w:tblW w:w="9358" w:type="dxa"/>
          <w:tblLayout w:type="fixed"/>
          <w:tblCellMar>
            <w:left w:w="62" w:type="dxa"/>
            <w:right w:w="62" w:type="dxa"/>
          </w:tblCellMar>
          <w:tblLook w:val="0000"/>
        </w:tblPrEx>
        <w:trPr>
          <w:trHeight w:val="1366"/>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2.2</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 xml:space="preserve">Cardiopulmonary resuscitation (CPR), rescue from live electrical apparatus and other related safety procedures are in place in accordance with job requirements and/or workplace procedures </w:t>
            </w:r>
          </w:p>
        </w:tc>
      </w:tr>
      <w:tr w:rsidTr="002E6EB6">
        <w:tblPrEx>
          <w:tblW w:w="9358" w:type="dxa"/>
          <w:tblLayout w:type="fixed"/>
          <w:tblCellMar>
            <w:left w:w="62" w:type="dxa"/>
            <w:right w:w="62" w:type="dxa"/>
          </w:tblCellMar>
          <w:tblLook w:val="0000"/>
        </w:tblPrEx>
        <w:trPr>
          <w:trHeight w:val="898"/>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2.3</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Safe working documentation is acquired and requirements comp</w:t>
            </w:r>
            <w:r w:rsidRPr="002E6EB6">
              <w:t>leted in accordance with workplace procedures</w:t>
            </w:r>
          </w:p>
        </w:tc>
      </w:tr>
      <w:tr w:rsidTr="002E6EB6">
        <w:tblPrEx>
          <w:tblW w:w="9358" w:type="dxa"/>
          <w:tblLayout w:type="fixed"/>
          <w:tblCellMar>
            <w:left w:w="62" w:type="dxa"/>
            <w:right w:w="62" w:type="dxa"/>
          </w:tblCellMar>
          <w:tblLook w:val="0000"/>
        </w:tblPrEx>
        <w:trPr>
          <w:trHeight w:val="1139"/>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2.4</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Requirements for lifting, climbing, working at heights, confined spaces and use of power tools/equipment are followed in accordance with workplace procedures</w:t>
            </w:r>
          </w:p>
        </w:tc>
      </w:tr>
      <w:tr w:rsidTr="002E6EB6">
        <w:tblPrEx>
          <w:tblW w:w="9358" w:type="dxa"/>
          <w:tblLayout w:type="fixed"/>
          <w:tblCellMar>
            <w:left w:w="62" w:type="dxa"/>
            <w:right w:w="62" w:type="dxa"/>
          </w:tblCellMar>
          <w:tblLook w:val="0000"/>
        </w:tblPrEx>
        <w:trPr>
          <w:trHeight w:val="1594"/>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2.5</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Hazard warnings and safety signs are recognised and hazards and assessed WHS/OHS risks are reported to the immediate authorised persons for directions in accordance with workplace procedures</w:t>
            </w:r>
          </w:p>
        </w:tc>
      </w:tr>
      <w:tr w:rsidTr="002E6EB6">
        <w:tblPrEx>
          <w:tblW w:w="9358" w:type="dxa"/>
          <w:tblLayout w:type="fixed"/>
          <w:tblCellMar>
            <w:left w:w="62" w:type="dxa"/>
            <w:right w:w="62" w:type="dxa"/>
          </w:tblCellMar>
          <w:tblLook w:val="0000"/>
        </w:tblPrEx>
        <w:trPr>
          <w:trHeight w:val="1139"/>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2.6</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High current d.c. switchgear and equipment are installed i</w:t>
            </w:r>
            <w:r w:rsidRPr="002E6EB6">
              <w:t>n accordance with work schedules, job requirements and workplace procedures</w:t>
            </w:r>
          </w:p>
        </w:tc>
      </w:tr>
      <w:tr w:rsidTr="002E6EB6">
        <w:tblPrEx>
          <w:tblW w:w="9358" w:type="dxa"/>
          <w:tblLayout w:type="fixed"/>
          <w:tblCellMar>
            <w:left w:w="62" w:type="dxa"/>
            <w:right w:w="62" w:type="dxa"/>
          </w:tblCellMar>
          <w:tblLook w:val="0000"/>
        </w:tblPrEx>
        <w:trPr>
          <w:trHeight w:val="1366"/>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2.7</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High current d.c. switchgear and equipment are safely installed to ensure completion in agreed timeframes, to quality standards and with minimum waste in accordance with wor</w:t>
            </w:r>
            <w:r w:rsidRPr="002E6EB6">
              <w:t>kplace procedures</w:t>
            </w:r>
          </w:p>
        </w:tc>
      </w:tr>
      <w:tr w:rsidTr="002E6EB6">
        <w:tblPrEx>
          <w:tblW w:w="9358" w:type="dxa"/>
          <w:tblLayout w:type="fixed"/>
          <w:tblCellMar>
            <w:left w:w="62" w:type="dxa"/>
            <w:right w:w="62" w:type="dxa"/>
          </w:tblCellMar>
          <w:tblLook w:val="0000"/>
        </w:tblPrEx>
        <w:trPr>
          <w:trHeight w:val="898"/>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2.8</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Unplanned events or conditions are responded to in accordance with workplace procedures</w:t>
            </w:r>
          </w:p>
        </w:tc>
      </w:tr>
      <w:tr w:rsidTr="002E6EB6">
        <w:tblPrEx>
          <w:tblW w:w="9358" w:type="dxa"/>
          <w:tblLayout w:type="fixed"/>
          <w:tblCellMar>
            <w:left w:w="62" w:type="dxa"/>
            <w:right w:w="62" w:type="dxa"/>
          </w:tblCellMar>
          <w:tblLook w:val="0000"/>
        </w:tblPrEx>
        <w:trPr>
          <w:trHeight w:val="1126"/>
        </w:trPr>
        <w:tc>
          <w:tcPr>
            <w:tcW w:w="30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3</w:t>
            </w:r>
          </w:p>
        </w:tc>
        <w:tc>
          <w:tcPr>
            <w:tcW w:w="2669"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rPr>
                <w:rStyle w:val="SpecialBold"/>
              </w:rPr>
              <w:t>Complete installation of high current</w:t>
            </w:r>
            <w:r w:rsidRPr="002E6EB6">
              <w:t xml:space="preserve"> </w:t>
            </w:r>
            <w:r w:rsidRPr="002E6EB6">
              <w:rPr>
                <w:rStyle w:val="SpecialBold"/>
              </w:rPr>
              <w:t>d.c</w:t>
            </w:r>
            <w:r w:rsidRPr="002E6EB6">
              <w:t>.</w:t>
            </w:r>
            <w:r w:rsidRPr="002E6EB6">
              <w:rPr>
                <w:rStyle w:val="SpecialBold"/>
              </w:rPr>
              <w:t xml:space="preserve"> switchgear and equipment</w:t>
            </w: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3.1</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Completed work is checked against work schedule, construction plan</w:t>
            </w:r>
            <w:r w:rsidRPr="002E6EB6">
              <w:t>s and drawings for compliance and anomalies are reported in accordance with workplace procedures</w:t>
            </w:r>
          </w:p>
        </w:tc>
      </w:tr>
      <w:tr w:rsidTr="002E6EB6">
        <w:tblPrEx>
          <w:tblW w:w="9358" w:type="dxa"/>
          <w:tblLayout w:type="fixed"/>
          <w:tblCellMar>
            <w:left w:w="62" w:type="dxa"/>
            <w:right w:w="62" w:type="dxa"/>
          </w:tblCellMar>
          <w:tblLook w:val="0000"/>
        </w:tblPrEx>
        <w:trPr>
          <w:trHeight w:val="911"/>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3.2</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Safe working documentation is surrendered and equipment made ready for service</w:t>
            </w:r>
          </w:p>
        </w:tc>
      </w:tr>
      <w:tr w:rsidTr="002E6EB6">
        <w:tblPrEx>
          <w:tblW w:w="9358" w:type="dxa"/>
          <w:tblLayout w:type="fixed"/>
          <w:tblCellMar>
            <w:left w:w="62" w:type="dxa"/>
            <w:right w:w="62" w:type="dxa"/>
          </w:tblCellMar>
          <w:tblLook w:val="0000"/>
        </w:tblPrEx>
        <w:trPr>
          <w:trHeight w:val="658"/>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3.3</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 xml:space="preserve">Worksite is rehabilitated, cleaned up and </w:t>
            </w:r>
            <w:r w:rsidRPr="002E6EB6">
              <w:t>confirmed safe in accordance with workplace procedures</w:t>
            </w:r>
          </w:p>
        </w:tc>
      </w:tr>
      <w:tr w:rsidTr="002E6EB6">
        <w:tblPrEx>
          <w:tblW w:w="9358" w:type="dxa"/>
          <w:tblLayout w:type="fixed"/>
          <w:tblCellMar>
            <w:left w:w="62" w:type="dxa"/>
            <w:right w:w="62" w:type="dxa"/>
          </w:tblCellMar>
          <w:tblLook w:val="0000"/>
        </w:tblPrEx>
        <w:trPr>
          <w:trHeight w:val="1139"/>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3.4</w:t>
            </w:r>
          </w:p>
        </w:tc>
        <w:tc>
          <w:tcPr>
            <w:tcW w:w="5738"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Tools, equipment, surplus resources and materials are cleaned, checked and returned to storage in accordance with workplace procedures</w:t>
            </w:r>
          </w:p>
        </w:tc>
      </w:tr>
      <w:tr w:rsidTr="002E6EB6">
        <w:tblPrEx>
          <w:tblW w:w="9358" w:type="dxa"/>
          <w:tblLayout w:type="fixed"/>
          <w:tblCellMar>
            <w:left w:w="62" w:type="dxa"/>
            <w:right w:w="62" w:type="dxa"/>
          </w:tblCellMar>
          <w:tblLook w:val="0000"/>
        </w:tblPrEx>
        <w:trPr>
          <w:trHeight w:val="1139"/>
        </w:trPr>
        <w:tc>
          <w:tcPr>
            <w:tcW w:w="30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69" w:type="dxa"/>
            <w:tcBorders>
              <w:top w:val="nil"/>
              <w:left w:val="nil"/>
              <w:bottom w:val="nil"/>
              <w:right w:val="nil"/>
            </w:tcBorders>
            <w:tcMar>
              <w:top w:w="0" w:type="dxa"/>
              <w:left w:w="62" w:type="dxa"/>
              <w:bottom w:w="0" w:type="dxa"/>
              <w:right w:w="62" w:type="dxa"/>
            </w:tcMar>
          </w:tcPr>
          <w:p w:rsidR="00000000" w:rsidRPr="002E6EB6">
            <w:pPr>
              <w:pStyle w:val="BodyText"/>
              <w:keepLines w:val="0"/>
              <w:spacing w:before="0" w:after="0"/>
            </w:pPr>
          </w:p>
        </w:tc>
        <w:tc>
          <w:tcPr>
            <w:tcW w:w="644"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rPr>
                <w:rStyle w:val="SpecialBold"/>
              </w:rPr>
              <w:t>3.5</w:t>
            </w:r>
          </w:p>
        </w:tc>
        <w:tc>
          <w:tcPr>
            <w:tcW w:w="5738"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Work records, reports and/or documentation are completed in accordance with workplace procedures and relevant personnel notified</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7" w:name="O_1004536"/>
      <w:bookmarkEnd w:id="7"/>
      <w:r w:rsidRPr="002E6EB6">
        <w:t>Foundation Skills</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Foundation skills essential to performance are explicit in the performance criteria of t</w:t>
            </w:r>
            <w:r w:rsidRPr="002E6EB6">
              <w:t>his unit of competency.</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8" w:name="O_1004537"/>
      <w:bookmarkEnd w:id="8"/>
      <w:r w:rsidRPr="002E6EB6">
        <w:t>Range of Conditions</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Range is restricted to essential operating conditions and any other variables essential to the work environment.</w:t>
            </w:r>
          </w:p>
          <w:p w:rsidR="00000000" w:rsidRPr="002E6EB6" w:rsidP="002E6EB6">
            <w:pPr>
              <w:pStyle w:val="BodyText"/>
            </w:pPr>
            <w:r w:rsidRPr="002E6EB6">
              <w:t>Non-essential conditions may be found in the Companion Volume Implementation Guide.</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9" w:name="O_1004538"/>
      <w:bookmarkEnd w:id="9"/>
      <w:r w:rsidRPr="002E6EB6">
        <w:t>Unit Mapping Information</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This unit replaces and is equivalent to UETTDRSB26A Install high current DC equipment and switchgear.</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10" w:name="O_1004545"/>
      <w:bookmarkEnd w:id="10"/>
      <w:r w:rsidRPr="002E6EB6">
        <w:t>Lin</w:t>
      </w:r>
      <w:r w:rsidRPr="002E6EB6">
        <w:t>ks</w:t>
      </w:r>
    </w:p>
    <w:p w:rsidR="00000000" w:rsidRPr="002E6EB6" w:rsidP="00FD216D">
      <w:pPr>
        <w:pStyle w:val="BodyText"/>
      </w:pPr>
      <w:r w:rsidRPr="002E6EB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F30FB">
        <w:rPr>
          <w:rStyle w:val="Hyperlink"/>
        </w:rPr>
        <w:t>https://vetnet.gov.au/Pages/TrainingDocs.aspx?q=229bace1-b7bc-4653-9300-dffb13ecfad7</w:t>
      </w:r>
      <w:r>
        <w:fldChar w:fldCharType="end"/>
      </w:r>
    </w:p>
    <w:p w:rsidR="00000000" w:rsidRPr="002E6EB6" w:rsidP="00FD216D">
      <w:pPr>
        <w:pStyle w:val="BodyText"/>
        <w:sectPr w:rsidSect="002E6EB6">
          <w:headerReference w:type="default" r:id="rId10"/>
          <w:footerReference w:type="default" r:id="rId11"/>
          <w:pgSz w:w="11908" w:h="16833"/>
          <w:pgMar w:top="1702" w:right="1418" w:bottom="1702" w:left="1418" w:header="992" w:footer="992" w:gutter="0"/>
          <w:cols w:space="720"/>
          <w:noEndnote/>
          <w:docGrid w:linePitch="299"/>
        </w:sectPr>
      </w:pPr>
    </w:p>
    <w:p w:rsidR="00000000" w:rsidRPr="002E6EB6" w:rsidP="002E6EB6">
      <w:pPr>
        <w:pStyle w:val="SuperHeading"/>
      </w:pPr>
      <w:r w:rsidRPr="002E6EB6">
        <w:t>Assessment Requirements for UETTDRSB26 In</w:t>
      </w:r>
      <w:r w:rsidRPr="002E6EB6">
        <w:t>stall high current d.c. equipment and switchgear</w:t>
      </w:r>
    </w:p>
    <w:p w:rsidR="00000000" w:rsidRPr="002E6EB6" w:rsidP="002E6EB6">
      <w:pPr>
        <w:pStyle w:val="Heading1"/>
      </w:pPr>
      <w:bookmarkStart w:id="11" w:name="O_1004540"/>
      <w:bookmarkEnd w:id="11"/>
      <w:r w:rsidRPr="002E6EB6">
        <w:t>Modification History</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Release 1. This is the first release of this unit of competency in the UET Transmission, Distribution and Rail Sector Training Package.</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12" w:name="O_1004541"/>
      <w:bookmarkEnd w:id="12"/>
      <w:r w:rsidRPr="002E6EB6">
        <w:t>Performance Evidence</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 xml:space="preserve">Evidence required to demonstrate competence in this unit must be relevant to and satisfy all of the requirements of the elements and performance criteria on at least two separate occasions and include:  </w:t>
            </w:r>
          </w:p>
        </w:tc>
      </w:tr>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ListBullet"/>
            </w:pPr>
            <w:r w:rsidRPr="002E6EB6">
              <w:t>applying relevant work health</w:t>
            </w:r>
            <w:r w:rsidRPr="002E6EB6">
              <w:t xml:space="preserve"> and safety (WHS)/occupational health and safety (OHS) requirements, including the use of risk control measures </w:t>
            </w:r>
          </w:p>
          <w:p w:rsidR="00000000" w:rsidRPr="002E6EB6" w:rsidP="002E6EB6">
            <w:pPr>
              <w:pStyle w:val="ListBullet"/>
            </w:pPr>
            <w:r w:rsidRPr="002E6EB6">
              <w:t>applying sustainable energy principles and practices</w:t>
            </w:r>
          </w:p>
          <w:p w:rsidR="00000000" w:rsidRPr="002E6EB6" w:rsidP="002E6EB6">
            <w:pPr>
              <w:pStyle w:val="ListBullet"/>
            </w:pPr>
            <w:r w:rsidRPr="002E6EB6">
              <w:t>using testing and measuring instruments including all of the following:</w:t>
            </w:r>
          </w:p>
          <w:p w:rsidR="00000000" w:rsidRPr="002E6EB6" w:rsidP="002E6EB6">
            <w:pPr>
              <w:pStyle w:val="ListBullet2"/>
            </w:pPr>
            <w:r w:rsidRPr="002E6EB6">
              <w:t>1500 V drop out t</w:t>
            </w:r>
            <w:r w:rsidRPr="002E6EB6">
              <w:t>ester</w:t>
            </w:r>
          </w:p>
          <w:p w:rsidR="00000000" w:rsidRPr="002E6EB6" w:rsidP="002E6EB6">
            <w:pPr>
              <w:pStyle w:val="ListBullet2"/>
            </w:pPr>
            <w:r w:rsidRPr="002E6EB6">
              <w:t xml:space="preserve">ammeter </w:t>
            </w:r>
          </w:p>
          <w:p w:rsidR="00000000" w:rsidRPr="002E6EB6" w:rsidP="002E6EB6">
            <w:pPr>
              <w:pStyle w:val="ListBullet2"/>
            </w:pPr>
            <w:r w:rsidRPr="002E6EB6">
              <w:t>low resistance high current</w:t>
            </w:r>
          </w:p>
          <w:p w:rsidR="00000000" w:rsidRPr="002E6EB6" w:rsidP="002E6EB6">
            <w:pPr>
              <w:pStyle w:val="ListBullet2"/>
            </w:pPr>
            <w:r w:rsidRPr="002E6EB6">
              <w:t>megger tester</w:t>
            </w:r>
          </w:p>
          <w:p w:rsidR="00000000" w:rsidRPr="002E6EB6" w:rsidP="002E6EB6">
            <w:pPr>
              <w:pStyle w:val="ListBullet2"/>
            </w:pPr>
            <w:r w:rsidRPr="002E6EB6">
              <w:t>multimeters</w:t>
            </w:r>
          </w:p>
          <w:p w:rsidR="00000000" w:rsidRPr="002E6EB6" w:rsidP="002E6EB6">
            <w:pPr>
              <w:pStyle w:val="ListBullet2"/>
            </w:pPr>
            <w:r w:rsidRPr="002E6EB6">
              <w:t>voltmeter</w:t>
            </w:r>
          </w:p>
          <w:p w:rsidR="00000000" w:rsidRPr="002E6EB6" w:rsidP="002E6EB6">
            <w:pPr>
              <w:pStyle w:val="ListBullet"/>
            </w:pPr>
            <w:r w:rsidRPr="002E6EB6">
              <w:t>using drawings and diagrams including all of the following:</w:t>
            </w:r>
          </w:p>
          <w:p w:rsidR="00000000" w:rsidRPr="002E6EB6" w:rsidP="002E6EB6">
            <w:pPr>
              <w:pStyle w:val="ListBullet2"/>
            </w:pPr>
            <w:r w:rsidRPr="002E6EB6">
              <w:t>building layouts</w:t>
            </w:r>
          </w:p>
          <w:p w:rsidR="00000000" w:rsidRPr="002E6EB6" w:rsidP="002E6EB6">
            <w:pPr>
              <w:pStyle w:val="ListBullet2"/>
            </w:pPr>
            <w:r w:rsidRPr="002E6EB6">
              <w:t>cable block and schedule diagrams</w:t>
            </w:r>
          </w:p>
          <w:p w:rsidR="00000000" w:rsidRPr="002E6EB6" w:rsidP="002E6EB6">
            <w:pPr>
              <w:pStyle w:val="ListBullet2"/>
            </w:pPr>
            <w:r w:rsidRPr="002E6EB6">
              <w:t>operating and substation arrangement diagrams wiring diagrams</w:t>
            </w:r>
          </w:p>
          <w:p w:rsidR="00000000" w:rsidRPr="002E6EB6" w:rsidP="002E6EB6">
            <w:pPr>
              <w:pStyle w:val="ListBullet2"/>
            </w:pPr>
            <w:r w:rsidRPr="002E6EB6">
              <w:t>schematic drawings</w:t>
            </w:r>
          </w:p>
          <w:p w:rsidR="00000000" w:rsidRPr="002E6EB6" w:rsidP="002E6EB6">
            <w:pPr>
              <w:pStyle w:val="ListBullet"/>
            </w:pPr>
            <w:r w:rsidRPr="002E6EB6">
              <w:t>installing at least six (6) of the following types of equipment:</w:t>
            </w:r>
          </w:p>
          <w:p w:rsidR="00000000" w:rsidRPr="002E6EB6" w:rsidP="002E6EB6">
            <w:pPr>
              <w:pStyle w:val="ListBullet2"/>
            </w:pPr>
            <w:r w:rsidRPr="002E6EB6">
              <w:t>d.c. circuit breakers</w:t>
            </w:r>
          </w:p>
          <w:p w:rsidR="00000000" w:rsidRPr="002E6EB6" w:rsidP="002E6EB6">
            <w:pPr>
              <w:pStyle w:val="ListBullet2"/>
            </w:pPr>
            <w:r w:rsidRPr="002E6EB6">
              <w:t>rectifier transformers</w:t>
            </w:r>
          </w:p>
          <w:p w:rsidR="00000000" w:rsidRPr="002E6EB6" w:rsidP="002E6EB6">
            <w:pPr>
              <w:pStyle w:val="ListBullet2"/>
            </w:pPr>
            <w:r w:rsidRPr="002E6EB6">
              <w:t>rectifiers</w:t>
            </w:r>
          </w:p>
          <w:p w:rsidR="00000000" w:rsidRPr="002E6EB6" w:rsidP="002E6EB6">
            <w:pPr>
              <w:pStyle w:val="ListBullet2"/>
            </w:pPr>
            <w:r w:rsidRPr="002E6EB6">
              <w:t>isolators and links</w:t>
            </w:r>
          </w:p>
          <w:p w:rsidR="00000000" w:rsidRPr="002E6EB6" w:rsidP="002E6EB6">
            <w:pPr>
              <w:pStyle w:val="ListBullet2"/>
            </w:pPr>
            <w:r w:rsidRPr="002E6EB6">
              <w:t>harmonic filters</w:t>
            </w:r>
          </w:p>
          <w:p w:rsidR="00000000" w:rsidRPr="002E6EB6" w:rsidP="002E6EB6">
            <w:pPr>
              <w:pStyle w:val="ListBullet2"/>
            </w:pPr>
            <w:r w:rsidRPr="002E6EB6">
              <w:t>negative reactors</w:t>
            </w:r>
          </w:p>
          <w:p w:rsidR="00000000" w:rsidRPr="002E6EB6" w:rsidP="002E6EB6">
            <w:pPr>
              <w:pStyle w:val="ListBullet2"/>
            </w:pPr>
            <w:r w:rsidRPr="002E6EB6">
              <w:t>energy dissipation resistors</w:t>
            </w:r>
          </w:p>
          <w:p w:rsidR="00000000" w:rsidRPr="002E6EB6" w:rsidP="002E6EB6">
            <w:pPr>
              <w:pStyle w:val="ListBullet"/>
            </w:pPr>
            <w:r w:rsidRPr="002E6EB6">
              <w:t>installing at least ten (10) of the following associated equipment:</w:t>
            </w:r>
          </w:p>
          <w:p w:rsidR="00000000" w:rsidRPr="002E6EB6" w:rsidP="002E6EB6">
            <w:pPr>
              <w:pStyle w:val="ListBullet2"/>
            </w:pPr>
            <w:r w:rsidRPr="002E6EB6">
              <w:t>d.c. feeders</w:t>
            </w:r>
          </w:p>
          <w:p w:rsidR="00000000" w:rsidRPr="002E6EB6" w:rsidP="002E6EB6">
            <w:pPr>
              <w:pStyle w:val="ListBullet2"/>
            </w:pPr>
            <w:r w:rsidRPr="002E6EB6">
              <w:t>surge arresters</w:t>
            </w:r>
          </w:p>
          <w:p w:rsidR="00000000" w:rsidRPr="002E6EB6" w:rsidP="002E6EB6">
            <w:pPr>
              <w:pStyle w:val="ListBullet2"/>
            </w:pPr>
            <w:r w:rsidRPr="002E6EB6">
              <w:t>isolating links</w:t>
            </w:r>
          </w:p>
          <w:p w:rsidR="00000000" w:rsidRPr="002E6EB6" w:rsidP="002E6EB6">
            <w:pPr>
              <w:pStyle w:val="ListBullet2"/>
            </w:pPr>
            <w:r w:rsidRPr="002E6EB6">
              <w:t>busbars</w:t>
            </w:r>
          </w:p>
          <w:p w:rsidR="00000000" w:rsidRPr="002E6EB6" w:rsidP="002E6EB6">
            <w:pPr>
              <w:pStyle w:val="ListBullet2"/>
            </w:pPr>
            <w:r w:rsidRPr="002E6EB6">
              <w:t>cables</w:t>
            </w:r>
          </w:p>
          <w:p w:rsidR="00000000" w:rsidRPr="002E6EB6" w:rsidP="002E6EB6">
            <w:pPr>
              <w:pStyle w:val="ListBullet2"/>
            </w:pPr>
            <w:r w:rsidRPr="002E6EB6">
              <w:t>cable supports</w:t>
            </w:r>
          </w:p>
          <w:p w:rsidR="00000000" w:rsidRPr="002E6EB6" w:rsidP="002E6EB6">
            <w:pPr>
              <w:pStyle w:val="ListBullet2"/>
            </w:pPr>
            <w:r w:rsidRPr="002E6EB6">
              <w:t>pits and enclosures</w:t>
            </w:r>
          </w:p>
          <w:p w:rsidR="00000000" w:rsidRPr="002E6EB6" w:rsidP="002E6EB6">
            <w:pPr>
              <w:pStyle w:val="ListBullet2"/>
            </w:pPr>
            <w:r w:rsidRPr="002E6EB6">
              <w:t>protection/alarm systems</w:t>
            </w:r>
          </w:p>
          <w:p w:rsidR="00000000" w:rsidRPr="002E6EB6" w:rsidP="002E6EB6">
            <w:pPr>
              <w:pStyle w:val="ListBullet2"/>
            </w:pPr>
            <w:r w:rsidRPr="002E6EB6">
              <w:t>control wiring</w:t>
            </w:r>
          </w:p>
          <w:p w:rsidR="00000000" w:rsidRPr="002E6EB6" w:rsidP="002E6EB6">
            <w:pPr>
              <w:pStyle w:val="ListBullet2"/>
            </w:pPr>
            <w:r w:rsidRPr="002E6EB6">
              <w:t>metering</w:t>
            </w:r>
          </w:p>
          <w:p w:rsidR="00000000" w:rsidRPr="002E6EB6" w:rsidP="002E6EB6">
            <w:pPr>
              <w:pStyle w:val="ListBullet2"/>
            </w:pPr>
            <w:r w:rsidRPr="002E6EB6">
              <w:t>supervisory interface</w:t>
            </w:r>
          </w:p>
          <w:p w:rsidR="00000000" w:rsidRPr="002E6EB6" w:rsidP="002E6EB6">
            <w:pPr>
              <w:pStyle w:val="ListBullet2"/>
            </w:pPr>
            <w:r w:rsidRPr="002E6EB6">
              <w:t>cabinets</w:t>
            </w:r>
          </w:p>
          <w:p w:rsidR="00000000" w:rsidRPr="002E6EB6" w:rsidP="002E6EB6">
            <w:pPr>
              <w:pStyle w:val="ListBullet2"/>
            </w:pPr>
            <w:r w:rsidRPr="002E6EB6">
              <w:t>REC</w:t>
            </w:r>
          </w:p>
          <w:p w:rsidR="00000000" w:rsidRPr="002E6EB6" w:rsidP="002E6EB6">
            <w:pPr>
              <w:pStyle w:val="ListBullet"/>
            </w:pPr>
            <w:r w:rsidRPr="002E6EB6">
              <w:t>installing at least three (3) of the following types of protection:</w:t>
            </w:r>
          </w:p>
          <w:p w:rsidR="00000000" w:rsidRPr="002E6EB6" w:rsidP="002E6EB6">
            <w:pPr>
              <w:pStyle w:val="ListBullet2"/>
            </w:pPr>
            <w:r w:rsidRPr="002E6EB6">
              <w:t>buchholz</w:t>
            </w:r>
          </w:p>
          <w:p w:rsidR="00000000" w:rsidRPr="002E6EB6" w:rsidP="002E6EB6">
            <w:pPr>
              <w:pStyle w:val="ListBullet2"/>
            </w:pPr>
            <w:r w:rsidRPr="002E6EB6">
              <w:t>frame leakage</w:t>
            </w:r>
          </w:p>
          <w:p w:rsidR="00000000" w:rsidRPr="002E6EB6" w:rsidP="002E6EB6">
            <w:pPr>
              <w:pStyle w:val="ListBullet2"/>
            </w:pPr>
            <w:r w:rsidRPr="002E6EB6">
              <w:t>overcurrent</w:t>
            </w:r>
          </w:p>
          <w:p w:rsidR="00000000" w:rsidRPr="002E6EB6" w:rsidP="002E6EB6">
            <w:pPr>
              <w:pStyle w:val="ListBullet2"/>
            </w:pPr>
            <w:r w:rsidRPr="002E6EB6">
              <w:t>earth leakage</w:t>
            </w:r>
          </w:p>
          <w:p w:rsidR="00000000" w:rsidRPr="002E6EB6" w:rsidP="002E6EB6">
            <w:pPr>
              <w:pStyle w:val="ListBullet2"/>
            </w:pPr>
            <w:r w:rsidRPr="002E6EB6">
              <w:t>reverse current</w:t>
            </w:r>
          </w:p>
          <w:p w:rsidR="00000000" w:rsidRPr="002E6EB6" w:rsidP="002E6EB6">
            <w:pPr>
              <w:pStyle w:val="ListBullet2"/>
            </w:pPr>
            <w:r w:rsidRPr="002E6EB6">
              <w:t>delta I</w:t>
            </w:r>
          </w:p>
          <w:p w:rsidR="00000000" w:rsidRPr="002E6EB6" w:rsidP="002E6EB6">
            <w:pPr>
              <w:pStyle w:val="ListBullet2"/>
            </w:pPr>
            <w:r w:rsidRPr="002E6EB6">
              <w:t>diode protection</w:t>
            </w:r>
          </w:p>
          <w:p w:rsidR="00000000" w:rsidRPr="002E6EB6" w:rsidP="002E6EB6">
            <w:pPr>
              <w:pStyle w:val="ListBullet"/>
            </w:pPr>
            <w:r w:rsidRPr="002E6EB6">
              <w:t>performing all of the following terminations and alignments:</w:t>
            </w:r>
          </w:p>
          <w:p w:rsidR="00000000" w:rsidRPr="002E6EB6" w:rsidP="002E6EB6">
            <w:pPr>
              <w:pStyle w:val="ListBullet2"/>
            </w:pPr>
            <w:r w:rsidRPr="002E6EB6">
              <w:t>cable terminations</w:t>
            </w:r>
          </w:p>
          <w:p w:rsidR="00000000" w:rsidRPr="002E6EB6" w:rsidP="002E6EB6">
            <w:pPr>
              <w:pStyle w:val="ListBullet2"/>
            </w:pPr>
            <w:r w:rsidRPr="002E6EB6">
              <w:t>busbar termination/joint</w:t>
            </w:r>
          </w:p>
          <w:p w:rsidR="00000000" w:rsidRPr="002E6EB6" w:rsidP="002E6EB6">
            <w:pPr>
              <w:pStyle w:val="ListBullet2"/>
            </w:pPr>
            <w:r w:rsidRPr="002E6EB6">
              <w:t>alignment of electrical contacts of withdrawable equipment</w:t>
            </w:r>
          </w:p>
          <w:p w:rsidR="00000000" w:rsidRPr="002E6EB6" w:rsidP="002E6EB6">
            <w:pPr>
              <w:pStyle w:val="ListBullet"/>
            </w:pPr>
            <w:r w:rsidRPr="002E6EB6">
              <w:t>dealing with unplanned events on at least one (1) occasion.</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13" w:name="O_1004542"/>
      <w:bookmarkEnd w:id="13"/>
      <w:r w:rsidRPr="002E6EB6">
        <w:t>Knowledge Evidence</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E6EB6">
            <w:pPr>
              <w:pStyle w:val="BodyText"/>
              <w:rPr>
                <w:lang w:val="en-NZ"/>
              </w:rPr>
            </w:pPr>
            <w:r w:rsidRPr="002E6EB6">
              <w:t>Evidence required to demonstrate competence in this unit must be relevant to and satisfy all of the requirements of the elements and performance criteria and include knowledge of:</w:t>
            </w:r>
          </w:p>
        </w:tc>
      </w:tr>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ListBullet"/>
            </w:pPr>
            <w:r w:rsidRPr="002E6EB6">
              <w:t>safe working on energised low voltage (LV) equipment, including:</w:t>
            </w:r>
          </w:p>
          <w:p w:rsidR="00000000" w:rsidRPr="002E6EB6" w:rsidP="002E6EB6">
            <w:pPr>
              <w:pStyle w:val="ListBullet2"/>
            </w:pPr>
            <w:r w:rsidRPr="002E6EB6">
              <w:t>standard</w:t>
            </w:r>
            <w:r w:rsidRPr="002E6EB6">
              <w:t>s, codes, Commonwealth/state/territory/local government legislation, supply authority regulations and/or enterprise requirements</w:t>
            </w:r>
          </w:p>
          <w:p w:rsidR="00000000" w:rsidRPr="002E6EB6" w:rsidP="002E6EB6">
            <w:pPr>
              <w:pStyle w:val="ListBullet2"/>
            </w:pPr>
            <w:r w:rsidRPr="002E6EB6">
              <w:t>safety precautions specific to working on or near energised LV conductors - safe working practices and procedures; identification of hazards; assessment and control of WHS/OHS risks; types, selection, maintenance and use of personal protective equipment (P</w:t>
            </w:r>
            <w:r w:rsidRPr="002E6EB6">
              <w:t>PE)</w:t>
            </w:r>
          </w:p>
          <w:p w:rsidR="00000000" w:rsidRPr="002E6EB6" w:rsidP="002E6EB6">
            <w:pPr>
              <w:pStyle w:val="ListBullet2"/>
            </w:pPr>
            <w:r w:rsidRPr="002E6EB6">
              <w:t>work on or near energised LV conductors - types and function of specialised tools, safe working practices when using specialised tools, methods of using specialised tools, safe procedures for work on panels and in cubicles on or near energised LV condu</w:t>
            </w:r>
            <w:r w:rsidRPr="002E6EB6">
              <w:t>ctors, and release and rescue procedures for work on or near exposed energised LV conductors</w:t>
            </w:r>
          </w:p>
          <w:p w:rsidR="00000000" w:rsidRPr="002E6EB6" w:rsidP="002E6EB6">
            <w:pPr>
              <w:pStyle w:val="ListBullet"/>
            </w:pPr>
            <w:r w:rsidRPr="002E6EB6">
              <w:t>enterprise-specific policies and procedure instructions, including:</w:t>
            </w:r>
          </w:p>
          <w:p w:rsidR="00000000" w:rsidRPr="002E6EB6" w:rsidP="002E6EB6">
            <w:pPr>
              <w:pStyle w:val="ListBullet2"/>
            </w:pPr>
            <w:r w:rsidRPr="002E6EB6">
              <w:t>responsibilities and duty of care of employer and employee relationship</w:t>
            </w:r>
          </w:p>
          <w:p w:rsidR="00000000" w:rsidRPr="002E6EB6" w:rsidP="002E6EB6">
            <w:pPr>
              <w:pStyle w:val="ListBullet2"/>
            </w:pPr>
            <w:r w:rsidRPr="002E6EB6">
              <w:t xml:space="preserve">methods of obtaining </w:t>
            </w:r>
            <w:r w:rsidRPr="002E6EB6">
              <w:t>the up-to-date information on enterprise policy and procedures</w:t>
            </w:r>
          </w:p>
          <w:p w:rsidR="00000000" w:rsidRPr="002E6EB6" w:rsidP="002E6EB6">
            <w:pPr>
              <w:pStyle w:val="ListBullet2"/>
            </w:pPr>
            <w:r w:rsidRPr="002E6EB6">
              <w:t>rules and regulations</w:t>
            </w:r>
          </w:p>
          <w:p w:rsidR="00000000" w:rsidRPr="002E6EB6" w:rsidP="002E6EB6">
            <w:pPr>
              <w:pStyle w:val="ListBullet2"/>
            </w:pPr>
            <w:r w:rsidRPr="002E6EB6">
              <w:t>induction into workplace - location of work area and storage area, timetable, uniform, personal wellbeing, housekeeping rules, emergency procedures and evacuation procedur</w:t>
            </w:r>
            <w:r w:rsidRPr="002E6EB6">
              <w:t>es</w:t>
            </w:r>
          </w:p>
          <w:p w:rsidR="00000000" w:rsidRPr="002E6EB6" w:rsidP="002E6EB6">
            <w:pPr>
              <w:pStyle w:val="ListBullet2"/>
            </w:pPr>
            <w:r w:rsidRPr="002E6EB6">
              <w:t>techniques when dealing with others - working in teams, customer relation, and complaint and issues procedures</w:t>
            </w:r>
          </w:p>
          <w:p w:rsidR="00000000" w:rsidRPr="002E6EB6" w:rsidP="002E6EB6">
            <w:pPr>
              <w:pStyle w:val="ListBullet2"/>
            </w:pPr>
            <w:r w:rsidRPr="002E6EB6">
              <w:t>overview of enterprise professional development - fire-fighting procedures, fatigue management, and training and competency development - unde</w:t>
            </w:r>
            <w:r w:rsidRPr="002E6EB6">
              <w:t>rstanding and promotion</w:t>
            </w:r>
          </w:p>
          <w:p w:rsidR="00000000" w:rsidRPr="002E6EB6" w:rsidP="002E6EB6">
            <w:pPr>
              <w:pStyle w:val="ListBullet"/>
            </w:pPr>
            <w:r w:rsidRPr="002E6EB6">
              <w:t>enterprise-specific WHS/OHS instructions, including:</w:t>
            </w:r>
          </w:p>
          <w:p w:rsidR="00000000" w:rsidRPr="002E6EB6" w:rsidP="002E6EB6">
            <w:pPr>
              <w:pStyle w:val="ListBullet2"/>
            </w:pPr>
            <w:r w:rsidRPr="002E6EB6">
              <w:t>standards, codes, legislation, supply authority regulations and specific enterprise regulations pertaining to WHS/OHS policies and procedures</w:t>
            </w:r>
          </w:p>
          <w:p w:rsidR="00000000" w:rsidRPr="002E6EB6" w:rsidP="002E6EB6">
            <w:pPr>
              <w:pStyle w:val="ListBullet2"/>
            </w:pPr>
            <w:r w:rsidRPr="002E6EB6">
              <w:t>methods of obtaining the up-to-date</w:t>
            </w:r>
            <w:r w:rsidRPr="002E6EB6">
              <w:t xml:space="preserve"> information on enterprise WHS/OHS policies and procedures</w:t>
            </w:r>
          </w:p>
          <w:p w:rsidR="00000000" w:rsidRPr="002E6EB6" w:rsidP="002E6EB6">
            <w:pPr>
              <w:pStyle w:val="ListBullet2"/>
            </w:pPr>
            <w:r w:rsidRPr="002E6EB6">
              <w:t>specific enterprise PPE - type and application; where and when to be used; method of replacement; responsibility of maintenance, including cleaning, inspection and testing; and emergency response, rescue, evacuation and first aid procedures</w:t>
            </w:r>
          </w:p>
          <w:p w:rsidR="00000000" w:rsidRPr="002E6EB6" w:rsidP="002E6EB6">
            <w:pPr>
              <w:pStyle w:val="ListBullet2"/>
            </w:pPr>
            <w:r w:rsidRPr="002E6EB6">
              <w:t>personal wellbe</w:t>
            </w:r>
            <w:r w:rsidRPr="002E6EB6">
              <w:t>ing – hygiene, fatigue/stress management and drugs/alcohol</w:t>
            </w:r>
          </w:p>
          <w:p w:rsidR="00000000" w:rsidRPr="002E6EB6" w:rsidP="002E6EB6">
            <w:pPr>
              <w:pStyle w:val="ListBullet2"/>
            </w:pPr>
            <w:r w:rsidRPr="002E6EB6">
              <w:t xml:space="preserve">WHS/OHS training - induction training, specific hazard training, specific task or equipment training, emergency and evacuation training, and training as part of broader programs, such as equipment </w:t>
            </w:r>
            <w:r w:rsidRPr="002E6EB6">
              <w:t>operation</w:t>
            </w:r>
          </w:p>
          <w:p w:rsidR="00000000" w:rsidRPr="002E6EB6" w:rsidP="002E6EB6">
            <w:pPr>
              <w:pStyle w:val="ListBullet2"/>
            </w:pPr>
            <w:r w:rsidRPr="002E6EB6">
              <w:t>WHS/OHS records - audits; inspection reports; workplace health and environmental monitoring records; training and instruction records; manufacturer and supplier information, such as material safety data sheets (MSDS); registers; maintenance repor</w:t>
            </w:r>
            <w:r w:rsidRPr="002E6EB6">
              <w:t>ts; workers compensation and rehabilitation records; and first aid/medical records</w:t>
            </w:r>
          </w:p>
          <w:p w:rsidR="00000000" w:rsidRPr="002E6EB6" w:rsidP="002E6EB6">
            <w:pPr>
              <w:pStyle w:val="ListBullet"/>
            </w:pPr>
            <w:r w:rsidRPr="002E6EB6">
              <w:t>enterprise-specific technical drawing and documents, including:</w:t>
            </w:r>
          </w:p>
          <w:p w:rsidR="00000000" w:rsidRPr="002E6EB6" w:rsidP="002E6EB6">
            <w:pPr>
              <w:pStyle w:val="ListBullet2"/>
            </w:pPr>
            <w:r w:rsidRPr="002E6EB6">
              <w:t>types and application of enterprise-specific drawings and documents - electrical and electronic drawings, m</w:t>
            </w:r>
            <w:r w:rsidRPr="002E6EB6">
              <w:t>echanical drawings, project charts, schedules, graphs, technical manuals and catalogues</w:t>
            </w:r>
          </w:p>
          <w:p w:rsidR="00000000" w:rsidRPr="002E6EB6" w:rsidP="002E6EB6">
            <w:pPr>
              <w:pStyle w:val="ListBullet2"/>
            </w:pPr>
            <w:r w:rsidRPr="002E6EB6">
              <w:t>instructions/worksheets - types and application of enterprise-specific symbols and diagrams</w:t>
            </w:r>
          </w:p>
          <w:p w:rsidR="00000000" w:rsidRPr="002E6EB6" w:rsidP="002E6EB6">
            <w:pPr>
              <w:pStyle w:val="ListBullet2"/>
            </w:pPr>
            <w:r w:rsidRPr="002E6EB6">
              <w:t>title box - description of parts and version control</w:t>
            </w:r>
          </w:p>
          <w:p w:rsidR="00000000" w:rsidRPr="002E6EB6" w:rsidP="002E6EB6">
            <w:pPr>
              <w:pStyle w:val="ListBullet"/>
            </w:pPr>
            <w:r w:rsidRPr="002E6EB6">
              <w:t>enterprise-specific sw</w:t>
            </w:r>
            <w:r w:rsidRPr="002E6EB6">
              <w:t>itching diagrams and drawings, including:</w:t>
            </w:r>
          </w:p>
          <w:p w:rsidR="00000000" w:rsidRPr="002E6EB6" w:rsidP="002E6EB6">
            <w:pPr>
              <w:pStyle w:val="ListBullet2"/>
            </w:pPr>
            <w:r w:rsidRPr="002E6EB6">
              <w:t>types and application of enterprise-specific switching drawings and documents - wiring and schematic diagrams and switching symbols, mechanical drawings dealing with switching operations, project charts, switching</w:t>
            </w:r>
            <w:r w:rsidRPr="002E6EB6">
              <w:t xml:space="preserve"> schedules, graphs, technical manuals and catalogues, and instructions/worksheets</w:t>
            </w:r>
          </w:p>
          <w:p w:rsidR="00000000" w:rsidRPr="002E6EB6" w:rsidP="002E6EB6">
            <w:pPr>
              <w:pStyle w:val="ListBullet2"/>
            </w:pPr>
            <w:r w:rsidRPr="002E6EB6">
              <w:t>interpretation of different system switching diagrams - LV system switching diagrams, d.c. traction supply sectioning diagrams, high voltage (HV) transmission and distributio</w:t>
            </w:r>
            <w:r w:rsidRPr="002E6EB6">
              <w:t>n system symbols and feeder plans, and processes of updating switching diagrams</w:t>
            </w:r>
          </w:p>
          <w:p w:rsidR="00000000" w:rsidRPr="002E6EB6" w:rsidP="002E6EB6">
            <w:pPr>
              <w:pStyle w:val="ListBullet"/>
            </w:pPr>
            <w:r w:rsidRPr="002E6EB6">
              <w:t>enterprise-specific specialised tools, including:</w:t>
            </w:r>
          </w:p>
          <w:p w:rsidR="00000000" w:rsidRPr="002E6EB6" w:rsidP="002E6EB6">
            <w:pPr>
              <w:pStyle w:val="ListBullet2"/>
            </w:pPr>
            <w:r w:rsidRPr="002E6EB6">
              <w:t xml:space="preserve">legislation, standards, codes,  supply authority regulations and specific enterprise regulations </w:t>
            </w:r>
            <w:r w:rsidRPr="002E6EB6">
              <w:t>pertaining to the use and care of specialised tools (voltage detectors, polarity testers and phase rotation)</w:t>
            </w:r>
          </w:p>
          <w:p w:rsidR="00000000" w:rsidRPr="002E6EB6" w:rsidP="002E6EB6">
            <w:pPr>
              <w:pStyle w:val="ListBullet2"/>
            </w:pPr>
            <w:r w:rsidRPr="002E6EB6">
              <w:t>characteristics, capabilities and application of specialised tools for a particular job</w:t>
            </w:r>
          </w:p>
          <w:p w:rsidR="00000000" w:rsidRPr="002E6EB6" w:rsidP="002E6EB6">
            <w:pPr>
              <w:pStyle w:val="ListBullet2"/>
            </w:pPr>
            <w:r w:rsidRPr="002E6EB6">
              <w:t>safety policies, procedures and precautions with regards to</w:t>
            </w:r>
            <w:r w:rsidRPr="002E6EB6">
              <w:t xml:space="preserve"> using, transporting and storing specialised tools</w:t>
            </w:r>
          </w:p>
          <w:p w:rsidR="00000000" w:rsidRPr="002E6EB6" w:rsidP="002E6EB6">
            <w:pPr>
              <w:pStyle w:val="ListBullet2"/>
            </w:pPr>
            <w:r w:rsidRPr="002E6EB6">
              <w:t>selection methods for obtaining the correct specialised tool for the particular job, including during procurement, purchasing and/or hiring arrangements</w:t>
            </w:r>
          </w:p>
          <w:p w:rsidR="00000000" w:rsidRPr="002E6EB6" w:rsidP="002E6EB6">
            <w:pPr>
              <w:pStyle w:val="ListBullet2"/>
            </w:pPr>
            <w:r w:rsidRPr="002E6EB6">
              <w:t>techniques in pre-use inspection on the serviceabili</w:t>
            </w:r>
            <w:r w:rsidRPr="002E6EB6">
              <w:t>ty of specialised tools</w:t>
            </w:r>
          </w:p>
          <w:p w:rsidR="00000000" w:rsidRPr="002E6EB6" w:rsidP="002E6EB6">
            <w:pPr>
              <w:pStyle w:val="ListBullet2"/>
            </w:pPr>
            <w:r w:rsidRPr="002E6EB6">
              <w:t>techniques in the selection, use, maintenance, and care and storage of specialised tools</w:t>
            </w:r>
          </w:p>
          <w:p w:rsidR="00000000" w:rsidRPr="002E6EB6" w:rsidP="002E6EB6">
            <w:pPr>
              <w:pStyle w:val="ListBullet2"/>
            </w:pPr>
            <w:r w:rsidRPr="002E6EB6">
              <w:t>identifying WHS/OHS hazards, and assessing and controlling risks associated with their use</w:t>
            </w:r>
          </w:p>
          <w:p w:rsidR="00000000" w:rsidRPr="002E6EB6" w:rsidP="002E6EB6">
            <w:pPr>
              <w:pStyle w:val="ListBullet2"/>
            </w:pPr>
            <w:r w:rsidRPr="002E6EB6">
              <w:t>techniques for the safe use of specialised power too</w:t>
            </w:r>
            <w:r w:rsidRPr="002E6EB6">
              <w:t>ls</w:t>
            </w:r>
          </w:p>
          <w:p w:rsidR="00000000" w:rsidRPr="002E6EB6" w:rsidP="002E6EB6">
            <w:pPr>
              <w:pStyle w:val="ListBullet"/>
            </w:pPr>
            <w:r w:rsidRPr="002E6EB6">
              <w:t>enterprise-specific equipment installation procedures, including:</w:t>
            </w:r>
          </w:p>
          <w:p w:rsidR="00000000" w:rsidRPr="002E6EB6" w:rsidP="002E6EB6">
            <w:pPr>
              <w:pStyle w:val="ListBullet2"/>
            </w:pPr>
            <w:r w:rsidRPr="002E6EB6">
              <w:t>standards, codes, legislation, supply authority regulations and/or enterprise requirements applicable to equipment installation</w:t>
            </w:r>
          </w:p>
          <w:p w:rsidR="00000000" w:rsidRPr="002E6EB6" w:rsidP="002E6EB6">
            <w:pPr>
              <w:pStyle w:val="ListBullet2"/>
            </w:pPr>
            <w:r w:rsidRPr="002E6EB6">
              <w:t>requirements for the use of manuals, substation diagrams/</w:t>
            </w:r>
            <w:r w:rsidRPr="002E6EB6">
              <w:t>plans and drawings</w:t>
            </w:r>
          </w:p>
          <w:p w:rsidR="00000000" w:rsidRPr="002E6EB6" w:rsidP="002E6EB6">
            <w:pPr>
              <w:pStyle w:val="ListBullet2"/>
            </w:pPr>
            <w:r w:rsidRPr="002E6EB6">
              <w:t>types, characteristics and capabilities of HV substation equipment to be installed</w:t>
            </w:r>
          </w:p>
          <w:p w:rsidR="00000000" w:rsidRPr="002E6EB6" w:rsidP="002E6EB6">
            <w:pPr>
              <w:pStyle w:val="ListBullet2"/>
            </w:pPr>
            <w:r w:rsidRPr="002E6EB6">
              <w:t>identification of components within the equipment to be installed and associated control housings</w:t>
            </w:r>
          </w:p>
          <w:p w:rsidR="00000000" w:rsidRPr="002E6EB6" w:rsidP="002E6EB6">
            <w:pPr>
              <w:pStyle w:val="ListBullet2"/>
            </w:pPr>
            <w:r w:rsidRPr="002E6EB6">
              <w:t>use, characteristics and capabilities of specialised tools and equipment</w:t>
            </w:r>
          </w:p>
          <w:p w:rsidR="00000000" w:rsidRPr="002E6EB6" w:rsidP="002E6EB6">
            <w:pPr>
              <w:pStyle w:val="ListBullet2"/>
            </w:pPr>
            <w:r w:rsidRPr="002E6EB6">
              <w:t>enterprise-specific policies and procedures for equipment to be installed</w:t>
            </w:r>
          </w:p>
          <w:p w:rsidR="00000000" w:rsidRPr="002E6EB6" w:rsidP="002E6EB6">
            <w:pPr>
              <w:pStyle w:val="ListBullet2"/>
            </w:pPr>
            <w:r w:rsidRPr="002E6EB6">
              <w:t>control equipment and auxiliary relays, flags and alarms</w:t>
            </w:r>
          </w:p>
          <w:p w:rsidR="00000000" w:rsidRPr="002E6EB6" w:rsidP="002E6EB6">
            <w:pPr>
              <w:pStyle w:val="ListBullet2"/>
            </w:pPr>
            <w:r w:rsidRPr="002E6EB6">
              <w:t>techniques in evaluating serviceability of equipment</w:t>
            </w:r>
            <w:r w:rsidRPr="002E6EB6">
              <w:t xml:space="preserve"> to be installed</w:t>
            </w:r>
          </w:p>
          <w:p w:rsidR="00000000" w:rsidRPr="002E6EB6" w:rsidP="002E6EB6">
            <w:pPr>
              <w:pStyle w:val="ListBullet2"/>
            </w:pPr>
            <w:r w:rsidRPr="002E6EB6">
              <w:t>safety precautions when testing and measuring equipment to be installed - safe working practices and procedures; identification of hazards; assessment and control of WHS/OHS risks; types, selection, maintenance and use of PPE; responsibili</w:t>
            </w:r>
            <w:r w:rsidRPr="002E6EB6">
              <w:t>ties and protocols; and safe working clearances</w:t>
            </w:r>
          </w:p>
          <w:p w:rsidR="00000000" w:rsidRPr="002E6EB6" w:rsidP="002E6EB6">
            <w:pPr>
              <w:pStyle w:val="ListBullet2"/>
            </w:pPr>
            <w:r w:rsidRPr="002E6EB6">
              <w:t>remote and local operating principles and conventions</w:t>
            </w:r>
          </w:p>
          <w:p w:rsidR="00000000" w:rsidRPr="002E6EB6" w:rsidP="002E6EB6">
            <w:pPr>
              <w:pStyle w:val="ListBullet"/>
            </w:pPr>
            <w:r w:rsidRPr="002E6EB6">
              <w:t>substation d.c. circuit breaker principles, including:</w:t>
            </w:r>
          </w:p>
          <w:p w:rsidR="00000000" w:rsidRPr="002E6EB6" w:rsidP="002E6EB6">
            <w:pPr>
              <w:pStyle w:val="ListBullet2"/>
            </w:pPr>
            <w:r w:rsidRPr="002E6EB6">
              <w:t>standards, codes, Commonwealth/state/territory legislation, supply authority regulations and/or e</w:t>
            </w:r>
            <w:r w:rsidRPr="002E6EB6">
              <w:t>nterprise requirements associated with the d.c. circuit breakers</w:t>
            </w:r>
          </w:p>
          <w:p w:rsidR="00000000" w:rsidRPr="002E6EB6" w:rsidP="002E6EB6">
            <w:pPr>
              <w:pStyle w:val="ListBullet2"/>
            </w:pPr>
            <w:r w:rsidRPr="002E6EB6">
              <w:t>types of d.c. circuit breakers- self and withdrawable types</w:t>
            </w:r>
          </w:p>
          <w:p w:rsidR="00000000" w:rsidRPr="002E6EB6" w:rsidP="002E6EB6">
            <w:pPr>
              <w:pStyle w:val="ListBullet2"/>
            </w:pPr>
            <w:r w:rsidRPr="002E6EB6">
              <w:t xml:space="preserve">characteristics of d.c. circuit breakers- purpose of d.c. circuit breakers and application of d.c. </w:t>
            </w:r>
            <w:r w:rsidRPr="002E6EB6">
              <w:t>circuit breakers</w:t>
            </w:r>
          </w:p>
          <w:p w:rsidR="00000000" w:rsidRPr="002E6EB6" w:rsidP="002E6EB6">
            <w:pPr>
              <w:pStyle w:val="ListBullet2"/>
            </w:pPr>
            <w:r w:rsidRPr="002E6EB6">
              <w:t>principles of o</w:t>
            </w:r>
            <w:r w:rsidRPr="002E6EB6">
              <w:t>peration of different types of d.c. circuit breakers- arc expulsion versus arc containment, latched versus magnetically held, advantages and disadvantages of different types, fixed or withdrawable and protection/diagnostic technology</w:t>
            </w:r>
          </w:p>
          <w:p w:rsidR="00000000" w:rsidRPr="002E6EB6" w:rsidP="002E6EB6">
            <w:pPr>
              <w:pStyle w:val="ListBullet2"/>
            </w:pPr>
            <w:r w:rsidRPr="002E6EB6">
              <w:t>principles of operation of high-speed d.c. circuit breakers– characteristics and calibration</w:t>
            </w:r>
          </w:p>
          <w:p w:rsidR="00000000" w:rsidRPr="002E6EB6" w:rsidP="002E6EB6">
            <w:pPr>
              <w:pStyle w:val="ListBullet2"/>
            </w:pPr>
            <w:r w:rsidRPr="002E6EB6">
              <w:t>how d.c. circuit breakers are designated - feeder, rectifier, EDR, bus-section and negative breakers, auto-reclose or non-auto-reclose type</w:t>
            </w:r>
          </w:p>
          <w:p w:rsidR="00000000" w:rsidRPr="002E6EB6" w:rsidP="002E6EB6">
            <w:pPr>
              <w:pStyle w:val="ListBullet2"/>
            </w:pPr>
            <w:r w:rsidRPr="002E6EB6">
              <w:t>type and function of d.</w:t>
            </w:r>
            <w:r w:rsidRPr="002E6EB6">
              <w:t>c. circuit breaker peripheral components - delta I relays, busbar, control wiring, trunk and associated plug/receptacle</w:t>
            </w:r>
          </w:p>
          <w:p w:rsidR="00000000" w:rsidRPr="002E6EB6" w:rsidP="002E6EB6">
            <w:pPr>
              <w:pStyle w:val="ListBullet2"/>
            </w:pPr>
            <w:r w:rsidRPr="002E6EB6">
              <w:t>identification, characteristics, application and care of d.c. circuit breaker components - holding coils, closing coils, contactors, res</w:t>
            </w:r>
            <w:r w:rsidRPr="002E6EB6">
              <w:t>istors, arc chutes, blow-out coils, arcing contacts, main contacts, braids, moving arm, pole face, arcing horns, electronic cards, dashpots, fingers, diode strings, fuses, insulators, latching mechanisms, motors, wiring and relays</w:t>
            </w:r>
          </w:p>
          <w:p w:rsidR="00000000" w:rsidRPr="002E6EB6" w:rsidP="002E6EB6">
            <w:pPr>
              <w:pStyle w:val="ListBullet2"/>
            </w:pPr>
            <w:r w:rsidRPr="002E6EB6">
              <w:t>characteristics, applicat</w:t>
            </w:r>
            <w:r w:rsidRPr="002E6EB6">
              <w:t>ion and care of hand and specialised tools used on d.c. circuit breakers - combination/multigrips/long nose pliers, side cutters, screwdrivers, wire strippers, crimpers, knife, hacksaw, hammers, mallets, levels, tape measures, spanners, T-wrench, pistol dr</w:t>
            </w:r>
            <w:r w:rsidRPr="002E6EB6">
              <w:t>ills, battery drills, heat gun, de-soldering tools and soldering iron/torches, Allen keys, socket spanners, gauges, feeler gauges and specialist tools supplied by the manufacturer</w:t>
            </w:r>
          </w:p>
          <w:p w:rsidR="00000000" w:rsidRPr="002E6EB6" w:rsidP="002E6EB6">
            <w:pPr>
              <w:pStyle w:val="ListBullet2"/>
            </w:pPr>
            <w:r w:rsidRPr="002E6EB6">
              <w:t>characteristics, application and care of test and measurement instruments us</w:t>
            </w:r>
            <w:r w:rsidRPr="002E6EB6">
              <w:t>ed on d.c. CB’s - multimeters, tong testers, ammeters, voltmeters, ohmmeters, test lamps, high and low voltage insulation resistance/ continuity testers, earth resistance tester, ductor and drop-out test sets</w:t>
            </w:r>
          </w:p>
          <w:p w:rsidR="00000000" w:rsidRPr="002E6EB6" w:rsidP="002E6EB6">
            <w:pPr>
              <w:pStyle w:val="ListBullet"/>
            </w:pPr>
            <w:r w:rsidRPr="002E6EB6">
              <w:t>installation of substation d.c. circuit breake</w:t>
            </w:r>
            <w:r w:rsidRPr="002E6EB6">
              <w:t>rs and associated equipment, including:</w:t>
            </w:r>
          </w:p>
          <w:p w:rsidR="00000000" w:rsidRPr="002E6EB6" w:rsidP="002E6EB6">
            <w:pPr>
              <w:pStyle w:val="ListBullet2"/>
            </w:pPr>
            <w:r w:rsidRPr="002E6EB6">
              <w:t xml:space="preserve">standards, codes, legislation, supply authority regulations and/or enterprise requirements pertaining to the installation of substation d.c. circuit breakers </w:t>
            </w:r>
          </w:p>
          <w:p w:rsidR="00000000" w:rsidRPr="002E6EB6" w:rsidP="002E6EB6">
            <w:pPr>
              <w:pStyle w:val="ListBullet2"/>
            </w:pPr>
            <w:r w:rsidRPr="002E6EB6">
              <w:t>safety precautions when installing substation d.c. circu</w:t>
            </w:r>
            <w:r w:rsidRPr="002E6EB6">
              <w:t>it breakers  - safe operation procedures; WH/?OHS hazards and precautions; identification of hazards; assessing and controlling risks; types, selection, maintenance and uses of PPE; permit to work systems and isolation procedures; safe working practices wh</w:t>
            </w:r>
            <w:r w:rsidRPr="002E6EB6">
              <w:t xml:space="preserve">en using specialised equipment; and emergency response and rescue, including first aid </w:t>
            </w:r>
          </w:p>
          <w:p w:rsidR="00000000" w:rsidRPr="002E6EB6" w:rsidP="002E6EB6">
            <w:pPr>
              <w:pStyle w:val="ListBullet2"/>
            </w:pPr>
            <w:r w:rsidRPr="002E6EB6">
              <w:t>use and interpretation of technical manuals and diagrams - manufacturer/enterprise manuals; block, wiring and schematic diagrams; 1500 V sectioning diagrams; substation</w:t>
            </w:r>
            <w:r w:rsidRPr="002E6EB6">
              <w:t xml:space="preserve"> HV operating diagrams; substation arrangement diagrams and layout drawings; technical/manufacturer specifications; and maintenance instructions/schedules</w:t>
            </w:r>
          </w:p>
          <w:p w:rsidR="00000000" w:rsidRPr="002E6EB6" w:rsidP="002E6EB6">
            <w:pPr>
              <w:pStyle w:val="ListBullet2"/>
            </w:pPr>
            <w:r w:rsidRPr="002E6EB6">
              <w:t>techniques in the safe installation of d.c. circuit breakers CB’s</w:t>
            </w:r>
          </w:p>
          <w:p w:rsidR="00000000" w:rsidRPr="002E6EB6" w:rsidP="002E6EB6">
            <w:pPr>
              <w:pStyle w:val="ListBullet"/>
            </w:pPr>
            <w:r w:rsidRPr="002E6EB6">
              <w:t>LV substation switching principles</w:t>
            </w:r>
            <w:r w:rsidRPr="002E6EB6">
              <w:t xml:space="preserve"> including:</w:t>
            </w:r>
          </w:p>
          <w:p w:rsidR="00000000" w:rsidRPr="002E6EB6" w:rsidP="002E6EB6">
            <w:pPr>
              <w:pStyle w:val="ListBullet2"/>
            </w:pPr>
            <w:r w:rsidRPr="002E6EB6">
              <w:t>standards, codes, legislation, supply authority regulations and/or enterprise requirements applicable to LV substation switching</w:t>
            </w:r>
          </w:p>
          <w:p w:rsidR="00000000" w:rsidRPr="002E6EB6" w:rsidP="002E6EB6">
            <w:pPr>
              <w:pStyle w:val="ListBullet2"/>
            </w:pPr>
            <w:r w:rsidRPr="002E6EB6">
              <w:t>requirements for the use of manuals, system diagrams/plans and drawings - types, characteristics and capabilities of LV electrical equipment to be switched; use, characteristics and capabilities of specialised tools and testing equipment</w:t>
            </w:r>
          </w:p>
          <w:p w:rsidR="00000000" w:rsidRPr="002E6EB6" w:rsidP="002E6EB6">
            <w:pPr>
              <w:pStyle w:val="ListBullet2"/>
            </w:pPr>
            <w:r w:rsidRPr="002E6EB6">
              <w:t>role and responsib</w:t>
            </w:r>
            <w:r w:rsidRPr="002E6EB6">
              <w:t>ilities of the LV switching operator</w:t>
            </w:r>
          </w:p>
          <w:p w:rsidR="00000000" w:rsidRPr="002E6EB6" w:rsidP="002E6EB6">
            <w:pPr>
              <w:pStyle w:val="ListBullet2"/>
            </w:pPr>
            <w:r w:rsidRPr="002E6EB6">
              <w:t>operational forms, access authorities and permits associated with LV switching - types of operational forms, access authorities and permits, purpose and procedures for operational forms, and access authorities and permi</w:t>
            </w:r>
            <w:r w:rsidRPr="002E6EB6">
              <w:t>ts</w:t>
            </w:r>
          </w:p>
          <w:p w:rsidR="00000000" w:rsidRPr="002E6EB6" w:rsidP="002E6EB6">
            <w:pPr>
              <w:pStyle w:val="ListBullet2"/>
            </w:pPr>
            <w:r w:rsidRPr="002E6EB6">
              <w:t>use, care and operation of equipment associated with LV substation switching</w:t>
            </w:r>
          </w:p>
          <w:p w:rsidR="00000000" w:rsidRPr="002E6EB6" w:rsidP="002E6EB6">
            <w:pPr>
              <w:pStyle w:val="ListBullet2"/>
            </w:pPr>
            <w:r w:rsidRPr="002E6EB6">
              <w:t>LV switchgear – types, categories, application and operating capabilities</w:t>
            </w:r>
          </w:p>
          <w:p w:rsidR="00000000" w:rsidRPr="002E6EB6" w:rsidP="002E6EB6">
            <w:pPr>
              <w:pStyle w:val="ListBullet2"/>
            </w:pPr>
            <w:r w:rsidRPr="002E6EB6">
              <w:t>operation of LV substation switching or indicating devices</w:t>
            </w:r>
          </w:p>
          <w:p w:rsidR="00000000" w:rsidRPr="002E6EB6" w:rsidP="002E6EB6">
            <w:pPr>
              <w:pStyle w:val="ListBullet2"/>
            </w:pPr>
            <w:r w:rsidRPr="002E6EB6">
              <w:t>operation of protection systems and substat</w:t>
            </w:r>
            <w:r w:rsidRPr="002E6EB6">
              <w:t>ion equipment</w:t>
            </w:r>
          </w:p>
          <w:p w:rsidR="00000000" w:rsidRPr="002E6EB6" w:rsidP="002E6EB6">
            <w:pPr>
              <w:pStyle w:val="ListBullet2"/>
            </w:pPr>
            <w:r w:rsidRPr="002E6EB6">
              <w:t>restrictions pertaining to LV switching equipment</w:t>
            </w:r>
          </w:p>
          <w:p w:rsidR="00000000" w:rsidRPr="002E6EB6" w:rsidP="002E6EB6">
            <w:pPr>
              <w:pStyle w:val="ListBullet2"/>
            </w:pPr>
            <w:r w:rsidRPr="002E6EB6">
              <w:t>earthing LV electrical apparatus practices and procedures for access</w:t>
            </w:r>
          </w:p>
          <w:p w:rsidR="00000000" w:rsidRPr="002E6EB6" w:rsidP="002E6EB6">
            <w:pPr>
              <w:pStyle w:val="ListBullet2"/>
            </w:pPr>
            <w:r w:rsidRPr="002E6EB6">
              <w:t>LV switching techniques</w:t>
            </w:r>
          </w:p>
          <w:p w:rsidR="00000000" w:rsidRPr="002E6EB6" w:rsidP="002E6EB6">
            <w:pPr>
              <w:pStyle w:val="ListBullet2"/>
            </w:pPr>
            <w:r w:rsidRPr="002E6EB6">
              <w:t>restrictions pertaining to enterprise-specific procedures.</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14" w:name="O_1004543"/>
      <w:bookmarkEnd w:id="14"/>
      <w:r w:rsidRPr="002E6EB6">
        <w:t>Assessment Conditions</w:t>
      </w:r>
    </w:p>
    <w:tbl>
      <w:tblPr>
        <w:tblW w:w="9497" w:type="dxa"/>
        <w:tblLayout w:type="fixed"/>
        <w:tblCellMar>
          <w:left w:w="62" w:type="dxa"/>
          <w:right w:w="62" w:type="dxa"/>
        </w:tblCellMar>
        <w:tblLook w:val="0000"/>
      </w:tblPr>
      <w:tblGrid>
        <w:gridCol w:w="9497"/>
      </w:tblGrid>
      <w:tr w:rsidTr="002E6E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6EB6" w:rsidP="002E6EB6">
            <w:pPr>
              <w:pStyle w:val="BodyText"/>
            </w:pPr>
            <w:r w:rsidRPr="002E6EB6">
              <w:t>Assessors must hold credentials specified within the Standards for Registered Training Organisations current at the time of assessment.</w:t>
            </w:r>
          </w:p>
          <w:p w:rsidR="00000000" w:rsidRPr="002E6EB6" w:rsidP="002E6EB6">
            <w:pPr>
              <w:pStyle w:val="BodyText"/>
            </w:pPr>
            <w:r w:rsidRPr="002E6EB6">
              <w:t>Assessment must satisfy the Principles of Assessment and Rules of Evidence and all regulatory requ</w:t>
            </w:r>
            <w:r w:rsidRPr="002E6EB6">
              <w:t>irements included within the Standards for Registered Training Organisations current at the time of assessment.</w:t>
            </w:r>
          </w:p>
          <w:p w:rsidR="00000000" w:rsidRPr="002E6EB6" w:rsidP="002E6EB6">
            <w:pPr>
              <w:pStyle w:val="BodyText"/>
            </w:pPr>
            <w:r w:rsidRPr="002E6EB6">
              <w:t>Assessment must occur in workplace operational situations where it is appropriate to do so; where this is not appropriate, assessment must occur</w:t>
            </w:r>
            <w:r w:rsidRPr="002E6EB6">
              <w:t xml:space="preserve"> in simulated conditions involving realistic and authentic activities that replicate operational workplace conditions.</w:t>
            </w:r>
          </w:p>
          <w:p w:rsidR="00000000" w:rsidRPr="002E6EB6" w:rsidP="002E6EB6">
            <w:pPr>
              <w:pStyle w:val="BodyText"/>
            </w:pPr>
            <w:r w:rsidRPr="002E6EB6">
              <w:t>Assessment processes and techniques must be appropriate to the language, literacy and numeracy requirements of the work being performed a</w:t>
            </w:r>
            <w:r w:rsidRPr="002E6EB6">
              <w:t>nd the needs of the candidate.</w:t>
            </w:r>
          </w:p>
          <w:p w:rsidR="00000000" w:rsidRPr="002E6EB6" w:rsidP="002E6EB6">
            <w:pPr>
              <w:pStyle w:val="BodyText"/>
            </w:pPr>
            <w:r w:rsidRPr="002E6EB6">
              <w:t>Resources for assessment must include access to:</w:t>
            </w:r>
          </w:p>
          <w:p w:rsidR="00000000" w:rsidRPr="002E6EB6" w:rsidP="002E6EB6">
            <w:pPr>
              <w:pStyle w:val="ListBullet"/>
            </w:pPr>
            <w:r w:rsidRPr="002E6EB6">
              <w:t>a range of relevant exercises, case studies and/or other simulations</w:t>
            </w:r>
          </w:p>
          <w:p w:rsidR="00000000" w:rsidRPr="002E6EB6" w:rsidP="002E6EB6">
            <w:pPr>
              <w:pStyle w:val="ListBullet"/>
            </w:pPr>
            <w:r w:rsidRPr="002E6EB6">
              <w:t>relevant and appropriate materials, tools, equipment and PPE currently used in industry</w:t>
            </w:r>
          </w:p>
          <w:p w:rsidR="00000000" w:rsidRPr="002E6EB6" w:rsidP="002E6EB6">
            <w:pPr>
              <w:pStyle w:val="ListBullet"/>
            </w:pPr>
            <w:r w:rsidRPr="002E6EB6">
              <w:t>applicable documentation, including workplace procedures, equipment specifications, regulations, codes of practice and operation manuals.</w:t>
            </w:r>
          </w:p>
        </w:tc>
      </w:tr>
    </w:tbl>
    <w:p w:rsidR="00000000" w:rsidRPr="002E6EB6" w:rsidP="002E6EB6">
      <w:pPr>
        <w:pStyle w:val="NoPaddingFontSize1"/>
      </w:pPr>
    </w:p>
    <w:p w:rsidR="00000000" w:rsidRPr="002E6EB6" w:rsidP="002E6EB6">
      <w:pPr>
        <w:pStyle w:val="AllowPageBreak"/>
      </w:pPr>
    </w:p>
    <w:p w:rsidR="00000000" w:rsidRPr="002E6EB6" w:rsidP="002E6EB6">
      <w:pPr>
        <w:pStyle w:val="Heading1"/>
      </w:pPr>
      <w:bookmarkStart w:id="15" w:name="O_1004546"/>
      <w:bookmarkEnd w:id="15"/>
      <w:r w:rsidRPr="002E6EB6">
        <w:t>Links</w:t>
      </w:r>
    </w:p>
    <w:p w:rsidR="00000000" w:rsidRPr="002E6EB6" w:rsidP="00FD216D">
      <w:pPr>
        <w:pStyle w:val="BodyText"/>
      </w:pPr>
      <w:r w:rsidRPr="002E6EB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F30FB">
        <w:rPr>
          <w:rStyle w:val="Hyperlink"/>
        </w:rPr>
        <w:t>https://vetnet.gov.au/Pages/TrainingDocs.aspx?q=229bace1-b7bc-4653-9300-dffb13ecfad7</w:t>
      </w:r>
      <w:r>
        <w:fldChar w:fldCharType="end"/>
      </w:r>
    </w:p>
    <w:p w:rsidR="00000000" w:rsidRPr="002E6EB6" w:rsidP="002E6EB6"/>
    <w:sectPr w:rsidSect="002E6E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rsidRPr="00FD216D" w:rsidP="00FD21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6D" w:rsidP="002E6E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FD216D" w:rsidP="002E6E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216D" w:rsidP="002E6E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rsidP="002E6EB6">
    <w:pPr>
      <w:pStyle w:val="Footer"/>
      <w:framePr w:wrap="around"/>
    </w:pPr>
    <w:r>
      <w:fldChar w:fldCharType="begin"/>
    </w:r>
    <w:r>
      <w:instrText xml:space="preserve"> DOCPROPERTY  Subject  \* MERGEFORMAT </w:instrText>
    </w:r>
    <w:r>
      <w:fldChar w:fldCharType="separate"/>
    </w:r>
    <w:r w:rsidR="00FD216D">
      <w:t>Approved</w:t>
    </w:r>
    <w:r w:rsidR="00FD216D">
      <w:fldChar w:fldCharType="end"/>
    </w:r>
    <w:r>
      <w:tab/>
      <w:t xml:space="preserve">Page </w:t>
    </w:r>
    <w:r>
      <w:fldChar w:fldCharType="begin"/>
    </w:r>
    <w:r>
      <w:instrText xml:space="preserve"> PAGE  \* Arabic  \* MERGEFORMAT </w:instrText>
    </w:r>
    <w:r>
      <w:fldChar w:fldCharType="separate"/>
    </w:r>
    <w:r w:rsidR="00FD216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16D">
      <w:rPr>
        <w:noProof/>
      </w:rPr>
      <w:t>9</w:t>
    </w:r>
    <w:r>
      <w:rPr>
        <w:noProof/>
      </w:rPr>
      <w:fldChar w:fldCharType="end"/>
    </w:r>
  </w:p>
  <w:p w:rsidR="002E6EB6" w:rsidP="002E6EB6">
    <w:pPr>
      <w:pStyle w:val="Footer"/>
      <w:framePr w:wrap="around"/>
    </w:pPr>
    <w:r>
      <w:t xml:space="preserve">© Commonwealth of Australia, </w:t>
    </w:r>
    <w:r>
      <w:fldChar w:fldCharType="begin"/>
    </w:r>
    <w:r>
      <w:instrText xml:space="preserve"> DATE  \@ "yyyy"  \* MERGEFORMAT </w:instrText>
    </w:r>
    <w:r>
      <w:fldChar w:fldCharType="separate"/>
    </w:r>
    <w:r w:rsidR="00FD216D">
      <w:rPr>
        <w:noProof/>
      </w:rPr>
      <w:t>2025</w:t>
    </w:r>
    <w:r>
      <w:fldChar w:fldCharType="end"/>
    </w:r>
    <w:r>
      <w:tab/>
    </w:r>
    <w:r>
      <w:fldChar w:fldCharType="begin"/>
    </w:r>
    <w:r>
      <w:instrText xml:space="preserve"> DOCPROPERTY  Author  \* MERGEFORMAT </w:instrText>
    </w:r>
    <w:r>
      <w:fldChar w:fldCharType="separate"/>
    </w:r>
    <w:r w:rsidR="00FD216D">
      <w:t>Powering Skills Organisation</w:t>
    </w:r>
    <w:r w:rsidR="00FD216D">
      <w:fldChar w:fldCharType="end"/>
    </w:r>
  </w:p>
  <w:p w:rsidR="002E6EB6" w:rsidP="002E6E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EB6" w:rsidRPr="00FD216D" w:rsidP="00FD21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16D" w:rsidRPr="002D2AF8" w:rsidP="002E6EB6">
    <w:pPr>
      <w:pStyle w:val="Header"/>
      <w:framePr w:wrap="around"/>
    </w:pPr>
    <w:r>
      <w:fldChar w:fldCharType="begin"/>
    </w:r>
    <w:r>
      <w:instrText xml:space="preserve"> TITLE   \* MERGEFORMAT </w:instrText>
    </w:r>
    <w:r>
      <w:fldChar w:fldCharType="separate"/>
    </w:r>
    <w:r>
      <w:t>UETTDRSB26 Install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216D" w:rsidP="002E6E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6" w:rsidRPr="002D2AF8" w:rsidP="002E6EB6">
    <w:pPr>
      <w:pStyle w:val="Header"/>
      <w:framePr w:wrap="around"/>
    </w:pPr>
    <w:r>
      <w:fldChar w:fldCharType="begin"/>
    </w:r>
    <w:r>
      <w:instrText xml:space="preserve"> TITLE   \* MERGEFORMAT </w:instrText>
    </w:r>
    <w:r>
      <w:fldChar w:fldCharType="separate"/>
    </w:r>
    <w:r w:rsidR="00FD216D">
      <w:t>UETTDRSB26 Install high current d.c. equipment and switchgear</w:t>
    </w:r>
    <w:r w:rsidR="00FD216D">
      <w:fldChar w:fldCharType="end"/>
    </w:r>
    <w:r>
      <w:tab/>
      <w:t xml:space="preserve">Date this document was generated: </w:t>
    </w:r>
    <w:r>
      <w:fldChar w:fldCharType="begin"/>
    </w:r>
    <w:r>
      <w:instrText xml:space="preserve"> CREATEDATE  \@ "d MMMM yyyy"  \* MERGEFORMAT </w:instrText>
    </w:r>
    <w:r>
      <w:fldChar w:fldCharType="separate"/>
    </w:r>
    <w:r w:rsidR="00FD216D">
      <w:rPr>
        <w:noProof/>
      </w:rPr>
      <w:t>1 March 2025</w:t>
    </w:r>
    <w:r>
      <w:fldChar w:fldCharType="end"/>
    </w:r>
  </w:p>
  <w:p w:rsidR="002E6EB6" w:rsidP="002E6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0C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3C9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AAA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EB6"/>
    <w:pPr>
      <w:spacing w:before="360" w:after="60"/>
      <w:outlineLvl w:val="0"/>
    </w:pPr>
    <w:rPr>
      <w:sz w:val="32"/>
    </w:rPr>
  </w:style>
  <w:style w:type="paragraph" w:styleId="Heading2">
    <w:name w:val="heading 2"/>
    <w:basedOn w:val="HeadingBase"/>
    <w:next w:val="BodyText"/>
    <w:link w:val="Heading2Char"/>
    <w:qFormat/>
    <w:rsid w:val="002E6EB6"/>
    <w:pPr>
      <w:keepLines/>
      <w:spacing w:before="240" w:after="120"/>
      <w:outlineLvl w:val="1"/>
    </w:pPr>
    <w:rPr>
      <w:sz w:val="28"/>
      <w:szCs w:val="40"/>
    </w:rPr>
  </w:style>
  <w:style w:type="paragraph" w:styleId="Heading3">
    <w:name w:val="heading 3"/>
    <w:basedOn w:val="HeadingBase"/>
    <w:next w:val="BodyText"/>
    <w:link w:val="Heading3Char"/>
    <w:qFormat/>
    <w:rsid w:val="002E6EB6"/>
    <w:pPr>
      <w:spacing w:before="180" w:after="120"/>
      <w:outlineLvl w:val="2"/>
    </w:pPr>
    <w:rPr>
      <w:spacing w:val="-10"/>
      <w:kern w:val="32"/>
    </w:rPr>
  </w:style>
  <w:style w:type="paragraph" w:styleId="Heading4">
    <w:name w:val="heading 4"/>
    <w:basedOn w:val="HeadingBase"/>
    <w:next w:val="BodyText"/>
    <w:link w:val="Heading4Char"/>
    <w:qFormat/>
    <w:rsid w:val="002E6EB6"/>
    <w:pPr>
      <w:spacing w:before="160" w:after="120"/>
      <w:outlineLvl w:val="3"/>
    </w:pPr>
    <w:rPr>
      <w:sz w:val="22"/>
    </w:rPr>
  </w:style>
  <w:style w:type="paragraph" w:styleId="Heading5">
    <w:name w:val="heading 5"/>
    <w:basedOn w:val="HeadingBase"/>
    <w:next w:val="Normal"/>
    <w:link w:val="Heading5Char"/>
    <w:qFormat/>
    <w:rsid w:val="002E6EB6"/>
    <w:pPr>
      <w:spacing w:before="80"/>
      <w:outlineLvl w:val="4"/>
    </w:pPr>
    <w:rPr>
      <w:color w:val="918585"/>
      <w:sz w:val="20"/>
    </w:rPr>
  </w:style>
  <w:style w:type="paragraph" w:styleId="Heading6">
    <w:name w:val="heading 6"/>
    <w:basedOn w:val="HeadingBase"/>
    <w:next w:val="Normal"/>
    <w:link w:val="Heading6Char"/>
    <w:qFormat/>
    <w:rsid w:val="002E6EB6"/>
    <w:pPr>
      <w:spacing w:before="60"/>
      <w:outlineLvl w:val="5"/>
    </w:pPr>
    <w:rPr>
      <w:color w:val="918585"/>
      <w:sz w:val="20"/>
    </w:rPr>
  </w:style>
  <w:style w:type="paragraph" w:styleId="Heading7">
    <w:name w:val="heading 7"/>
    <w:basedOn w:val="Normal"/>
    <w:next w:val="Normal"/>
    <w:link w:val="Heading7Char"/>
    <w:qFormat/>
    <w:rsid w:val="002E6EB6"/>
    <w:pPr>
      <w:ind w:left="720"/>
      <w:outlineLvl w:val="6"/>
    </w:pPr>
    <w:rPr>
      <w:i/>
    </w:rPr>
  </w:style>
  <w:style w:type="paragraph" w:styleId="Heading8">
    <w:name w:val="heading 8"/>
    <w:basedOn w:val="Normal"/>
    <w:next w:val="Normal"/>
    <w:link w:val="Heading8Char"/>
    <w:qFormat/>
    <w:rsid w:val="002E6EB6"/>
    <w:pPr>
      <w:ind w:left="720"/>
      <w:outlineLvl w:val="7"/>
    </w:pPr>
    <w:rPr>
      <w:i/>
    </w:rPr>
  </w:style>
  <w:style w:type="paragraph" w:styleId="Heading9">
    <w:name w:val="heading 9"/>
    <w:basedOn w:val="Normal"/>
    <w:next w:val="Normal"/>
    <w:link w:val="Heading9Char"/>
    <w:qFormat/>
    <w:rsid w:val="002E6EB6"/>
    <w:pPr>
      <w:ind w:left="720"/>
      <w:outlineLvl w:val="8"/>
    </w:pPr>
    <w:rPr>
      <w:i/>
    </w:rPr>
  </w:style>
  <w:style w:type="character" w:default="1" w:styleId="DefaultParagraphFont">
    <w:name w:val="Default Paragraph Font"/>
    <w:uiPriority w:val="1"/>
    <w:unhideWhenUsed/>
    <w:rsid w:val="002E6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EB6"/>
  </w:style>
  <w:style w:type="character" w:customStyle="1" w:styleId="Heading1Char">
    <w:name w:val="Heading 1 Char"/>
    <w:basedOn w:val="DefaultParagraphFont"/>
    <w:link w:val="Heading1"/>
    <w:rsid w:val="002E6EB6"/>
    <w:rPr>
      <w:rFonts w:ascii="Times New Roman" w:eastAsia="Times New Roman" w:hAnsi="Times New Roman" w:cs="Times New Roman"/>
      <w:b/>
      <w:sz w:val="32"/>
      <w:szCs w:val="20"/>
      <w:lang w:eastAsia="en-US"/>
    </w:rPr>
  </w:style>
  <w:style w:type="paragraph" w:styleId="BodyText">
    <w:name w:val="Body Text"/>
    <w:basedOn w:val="Normal"/>
    <w:link w:val="BodyTextChar"/>
    <w:rsid w:val="002E6E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EB6"/>
    <w:rPr>
      <w:rFonts w:ascii="Times New Roman" w:eastAsia="Times New Roman" w:hAnsi="Times New Roman" w:cs="Times New Roman"/>
      <w:sz w:val="24"/>
      <w:lang w:eastAsia="en-US"/>
    </w:rPr>
  </w:style>
  <w:style w:type="paragraph" w:styleId="ListBullet">
    <w:name w:val="List Bullet"/>
    <w:basedOn w:val="List"/>
    <w:rsid w:val="002E6EB6"/>
    <w:pPr>
      <w:numPr>
        <w:numId w:val="12"/>
      </w:numPr>
      <w:tabs>
        <w:tab w:val="clear" w:pos="340"/>
      </w:tabs>
      <w:spacing w:before="40" w:after="40"/>
    </w:pPr>
  </w:style>
  <w:style w:type="character" w:customStyle="1" w:styleId="SpecialBold">
    <w:name w:val="Special Bold"/>
    <w:basedOn w:val="DefaultParagraphFont"/>
    <w:rsid w:val="002E6EB6"/>
    <w:rPr>
      <w:b/>
      <w:spacing w:val="0"/>
    </w:rPr>
  </w:style>
  <w:style w:type="paragraph" w:styleId="ListBullet2">
    <w:name w:val="List Bullet 2"/>
    <w:basedOn w:val="List2"/>
    <w:rsid w:val="002E6EB6"/>
    <w:pPr>
      <w:numPr>
        <w:numId w:val="13"/>
      </w:numPr>
      <w:tabs>
        <w:tab w:val="clear" w:pos="680"/>
      </w:tabs>
    </w:pPr>
  </w:style>
  <w:style w:type="paragraph" w:customStyle="1" w:styleId="SuperHeading">
    <w:name w:val="SuperHeading"/>
    <w:basedOn w:val="Normal"/>
    <w:rsid w:val="002E6EB6"/>
    <w:pPr>
      <w:spacing w:before="240" w:after="120"/>
      <w:outlineLvl w:val="0"/>
    </w:pPr>
    <w:rPr>
      <w:rFonts w:ascii="Times New Roman" w:hAnsi="Times New Roman"/>
      <w:b/>
      <w:sz w:val="32"/>
    </w:rPr>
  </w:style>
  <w:style w:type="paragraph" w:customStyle="1" w:styleId="AllowPageBreak">
    <w:name w:val="AllowPageBreak"/>
    <w:rsid w:val="002E6E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6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EB6"/>
    <w:rPr>
      <w:rFonts w:ascii="Courier New" w:eastAsia="Times New Roman" w:hAnsi="Courier New" w:cs="Times New Roman"/>
      <w:i/>
      <w:szCs w:val="20"/>
      <w:lang w:eastAsia="en-US"/>
    </w:rPr>
  </w:style>
  <w:style w:type="paragraph" w:customStyle="1" w:styleId="HeadingBase">
    <w:name w:val="Heading Base"/>
    <w:rsid w:val="002E6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EB6"/>
    <w:pPr>
      <w:tabs>
        <w:tab w:val="right" w:leader="dot" w:pos="9072"/>
      </w:tabs>
      <w:ind w:left="567"/>
    </w:pPr>
    <w:rPr>
      <w:szCs w:val="22"/>
    </w:rPr>
  </w:style>
  <w:style w:type="paragraph" w:customStyle="1" w:styleId="TOCBase">
    <w:name w:val="TOC Base"/>
    <w:rsid w:val="002E6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EB6"/>
    <w:pPr>
      <w:tabs>
        <w:tab w:val="right" w:leader="dot" w:pos="9072"/>
      </w:tabs>
      <w:spacing w:before="40" w:after="40"/>
      <w:ind w:left="284"/>
    </w:pPr>
    <w:rPr>
      <w:rFonts w:ascii="Times New Roman" w:hAnsi="Times New Roman"/>
    </w:rPr>
  </w:style>
  <w:style w:type="paragraph" w:styleId="TOC1">
    <w:name w:val="toc 1"/>
    <w:basedOn w:val="TOCBase"/>
    <w:next w:val="Normal"/>
    <w:rsid w:val="002E6E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EB6"/>
    <w:rPr>
      <w:rFonts w:ascii="Times New Roman" w:eastAsia="Times New Roman" w:hAnsi="Times New Roman" w:cs="Times New Roman"/>
      <w:sz w:val="16"/>
      <w:lang w:eastAsia="en-US"/>
    </w:rPr>
  </w:style>
  <w:style w:type="paragraph" w:styleId="Title">
    <w:name w:val="Title"/>
    <w:basedOn w:val="HeadingBase"/>
    <w:link w:val="TitleChar"/>
    <w:qFormat/>
    <w:rsid w:val="002E6EB6"/>
    <w:pPr>
      <w:spacing w:before="5040"/>
      <w:jc w:val="center"/>
    </w:pPr>
    <w:rPr>
      <w:sz w:val="48"/>
      <w:szCs w:val="72"/>
      <w:lang w:val="en-US"/>
    </w:rPr>
  </w:style>
  <w:style w:type="character" w:customStyle="1" w:styleId="TitleChar">
    <w:name w:val="Title Char"/>
    <w:basedOn w:val="DefaultParagraphFont"/>
    <w:link w:val="Title"/>
    <w:rsid w:val="002E6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EB6"/>
    <w:pPr>
      <w:tabs>
        <w:tab w:val="left" w:pos="3600"/>
        <w:tab w:val="left" w:pos="3958"/>
      </w:tabs>
    </w:pPr>
  </w:style>
  <w:style w:type="paragraph" w:styleId="List">
    <w:name w:val="List"/>
    <w:basedOn w:val="BodyText"/>
    <w:next w:val="BodyText"/>
    <w:rsid w:val="002E6EB6"/>
    <w:pPr>
      <w:tabs>
        <w:tab w:val="left" w:pos="340"/>
      </w:tabs>
      <w:spacing w:before="60" w:after="60"/>
      <w:ind w:left="340" w:hanging="340"/>
    </w:pPr>
  </w:style>
  <w:style w:type="paragraph" w:customStyle="1" w:styleId="Note">
    <w:name w:val="Note"/>
    <w:basedOn w:val="BodyText"/>
    <w:rsid w:val="002E6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EB6"/>
    <w:pPr>
      <w:framePr w:wrap="auto" w:hAnchor="text" w:y="6049"/>
    </w:pPr>
    <w:rPr>
      <w:color w:val="000000"/>
      <w:sz w:val="40"/>
    </w:rPr>
  </w:style>
  <w:style w:type="paragraph" w:customStyle="1" w:styleId="TOCTitle">
    <w:name w:val="TOCTitle"/>
    <w:basedOn w:val="Heading1"/>
    <w:rsid w:val="002E6EB6"/>
    <w:pPr>
      <w:spacing w:after="240"/>
      <w:jc w:val="center"/>
      <w:outlineLvl w:val="9"/>
    </w:pPr>
    <w:rPr>
      <w:caps/>
    </w:rPr>
  </w:style>
  <w:style w:type="paragraph" w:customStyle="1" w:styleId="Version">
    <w:name w:val="Version"/>
    <w:rsid w:val="002E6E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EB6"/>
    <w:pPr>
      <w:keepNext w:val="0"/>
      <w:tabs>
        <w:tab w:val="right" w:pos="4176"/>
      </w:tabs>
      <w:ind w:left="198" w:hanging="198"/>
    </w:pPr>
    <w:rPr>
      <w:rFonts w:ascii="Garamond" w:hAnsi="Garamond"/>
    </w:rPr>
  </w:style>
  <w:style w:type="paragraph" w:styleId="IndexHeading">
    <w:name w:val="index heading"/>
    <w:basedOn w:val="Normal"/>
    <w:next w:val="Index1"/>
    <w:semiHidden/>
    <w:rsid w:val="002E6EB6"/>
    <w:pPr>
      <w:spacing w:before="120" w:after="120"/>
    </w:pPr>
    <w:rPr>
      <w:rFonts w:ascii="Arial" w:hAnsi="Arial"/>
      <w:b/>
      <w:color w:val="918585"/>
      <w:sz w:val="24"/>
    </w:rPr>
  </w:style>
  <w:style w:type="paragraph" w:styleId="Header">
    <w:name w:val="header"/>
    <w:basedOn w:val="Normal"/>
    <w:link w:val="HeaderChar"/>
    <w:rsid w:val="002E6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EB6"/>
    <w:rPr>
      <w:rFonts w:ascii="Times New Roman" w:eastAsia="Times New Roman" w:hAnsi="Times New Roman" w:cs="Times New Roman"/>
      <w:sz w:val="16"/>
      <w:szCs w:val="20"/>
      <w:lang w:val="en-GB" w:eastAsia="en-US"/>
    </w:rPr>
  </w:style>
  <w:style w:type="paragraph" w:customStyle="1" w:styleId="Chapter">
    <w:name w:val="Chapter"/>
    <w:basedOn w:val="Normal"/>
    <w:rsid w:val="002E6EB6"/>
    <w:pPr>
      <w:spacing w:before="240"/>
    </w:pPr>
    <w:rPr>
      <w:rFonts w:ascii="Times New Roman" w:hAnsi="Times New Roman"/>
      <w:smallCaps/>
      <w:spacing w:val="80"/>
      <w:sz w:val="28"/>
    </w:rPr>
  </w:style>
  <w:style w:type="paragraph" w:customStyle="1" w:styleId="InChapter">
    <w:name w:val="InChapter"/>
    <w:basedOn w:val="Heading3"/>
    <w:rsid w:val="002E6EB6"/>
    <w:pPr>
      <w:spacing w:after="240"/>
      <w:outlineLvl w:val="9"/>
    </w:pPr>
    <w:rPr>
      <w:noProof/>
    </w:rPr>
  </w:style>
  <w:style w:type="paragraph" w:styleId="Index2">
    <w:name w:val="index 2"/>
    <w:basedOn w:val="Normal"/>
    <w:next w:val="Normal"/>
    <w:semiHidden/>
    <w:rsid w:val="002E6EB6"/>
    <w:pPr>
      <w:tabs>
        <w:tab w:val="right" w:pos="4176"/>
      </w:tabs>
      <w:ind w:left="568" w:hanging="284"/>
    </w:pPr>
    <w:rPr>
      <w:rFonts w:ascii="Garamond" w:hAnsi="Garamond"/>
    </w:rPr>
  </w:style>
  <w:style w:type="paragraph" w:customStyle="1" w:styleId="Byline">
    <w:name w:val="Byline"/>
    <w:rsid w:val="002E6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EB6"/>
    <w:pPr>
      <w:tabs>
        <w:tab w:val="clear" w:pos="3600"/>
        <w:tab w:val="clear" w:pos="3958"/>
      </w:tabs>
      <w:jc w:val="right"/>
    </w:pPr>
  </w:style>
  <w:style w:type="character" w:styleId="Emphasis">
    <w:name w:val="Emphasis"/>
    <w:basedOn w:val="DefaultParagraphFont"/>
    <w:qFormat/>
    <w:rsid w:val="002E6EB6"/>
    <w:rPr>
      <w:i/>
    </w:rPr>
  </w:style>
  <w:style w:type="paragraph" w:styleId="Caption">
    <w:name w:val="caption"/>
    <w:basedOn w:val="BodyText"/>
    <w:next w:val="Normal"/>
    <w:qFormat/>
    <w:rsid w:val="002E6EB6"/>
    <w:pPr>
      <w:framePr w:w="2268" w:hSpace="181" w:vSpace="181" w:wrap="around" w:vAnchor="text" w:hAnchor="page" w:x="1135" w:y="285" w:anchorLock="1"/>
    </w:pPr>
    <w:rPr>
      <w:i/>
    </w:rPr>
  </w:style>
  <w:style w:type="paragraph" w:customStyle="1" w:styleId="MiniTOCTitle">
    <w:name w:val="MiniTOCTitle"/>
    <w:basedOn w:val="Heading4"/>
    <w:rsid w:val="002E6EB6"/>
    <w:pPr>
      <w:spacing w:before="240"/>
      <w:outlineLvl w:val="9"/>
    </w:pPr>
    <w:rPr>
      <w:noProof/>
      <w:sz w:val="24"/>
    </w:rPr>
  </w:style>
  <w:style w:type="paragraph" w:customStyle="1" w:styleId="MiniTOCItem">
    <w:name w:val="MiniTOCItem"/>
    <w:basedOn w:val="ListBullet"/>
    <w:rsid w:val="002E6EB6"/>
    <w:pPr>
      <w:numPr>
        <w:numId w:val="0"/>
      </w:numPr>
      <w:tabs>
        <w:tab w:val="right" w:leader="dot" w:pos="6521"/>
      </w:tabs>
      <w:spacing w:before="0" w:after="0"/>
    </w:pPr>
  </w:style>
  <w:style w:type="paragraph" w:customStyle="1" w:styleId="TOFTitle">
    <w:name w:val="TOFTitle"/>
    <w:basedOn w:val="TOCTitle"/>
    <w:rsid w:val="002E6EB6"/>
  </w:style>
  <w:style w:type="paragraph" w:styleId="TableofFigures">
    <w:name w:val="table of figures"/>
    <w:basedOn w:val="Normal"/>
    <w:next w:val="Normal"/>
    <w:semiHidden/>
    <w:rsid w:val="002E6EB6"/>
    <w:pPr>
      <w:tabs>
        <w:tab w:val="right" w:leader="dot" w:pos="9072"/>
      </w:tabs>
      <w:ind w:left="970" w:hanging="403"/>
    </w:pPr>
    <w:rPr>
      <w:rFonts w:ascii="Times New Roman" w:hAnsi="Times New Roman"/>
      <w:b/>
    </w:rPr>
  </w:style>
  <w:style w:type="paragraph" w:styleId="ListNumber">
    <w:name w:val="List Number"/>
    <w:basedOn w:val="List"/>
    <w:rsid w:val="002E6EB6"/>
    <w:pPr>
      <w:numPr>
        <w:numId w:val="15"/>
      </w:numPr>
      <w:tabs>
        <w:tab w:val="clear" w:pos="340"/>
      </w:tabs>
    </w:pPr>
  </w:style>
  <w:style w:type="character" w:customStyle="1" w:styleId="WingdingSymbols">
    <w:name w:val="Wingding Symbols"/>
    <w:rsid w:val="002E6EB6"/>
    <w:rPr>
      <w:rFonts w:ascii="Wingdings" w:hAnsi="Wingdings"/>
    </w:rPr>
  </w:style>
  <w:style w:type="paragraph" w:customStyle="1" w:styleId="TableHeading">
    <w:name w:val="Table Heading"/>
    <w:basedOn w:val="HeadingBase"/>
    <w:rsid w:val="002E6EB6"/>
    <w:pPr>
      <w:keepLines/>
      <w:pBdr>
        <w:bottom w:val="single" w:sz="6" w:space="1" w:color="918585"/>
      </w:pBdr>
      <w:spacing w:before="240"/>
    </w:pPr>
  </w:style>
  <w:style w:type="character" w:customStyle="1" w:styleId="HotSpot">
    <w:name w:val="HotSpot"/>
    <w:rsid w:val="002E6EB6"/>
    <w:rPr>
      <w:color w:val="0033CC"/>
      <w:u w:val="none"/>
    </w:rPr>
  </w:style>
  <w:style w:type="paragraph" w:customStyle="1" w:styleId="BodyTextRight">
    <w:name w:val="Body Text Right"/>
    <w:basedOn w:val="BodyText"/>
    <w:rsid w:val="002E6EB6"/>
    <w:pPr>
      <w:spacing w:before="0" w:after="0"/>
      <w:jc w:val="right"/>
    </w:pPr>
  </w:style>
  <w:style w:type="paragraph" w:styleId="Index3">
    <w:name w:val="index 3"/>
    <w:basedOn w:val="ListNumber2"/>
    <w:next w:val="Normal"/>
    <w:semiHidden/>
    <w:rsid w:val="002E6EB6"/>
    <w:pPr>
      <w:numPr>
        <w:numId w:val="0"/>
      </w:numPr>
      <w:tabs>
        <w:tab w:val="right" w:leader="dot" w:pos="4176"/>
      </w:tabs>
    </w:pPr>
  </w:style>
  <w:style w:type="paragraph" w:styleId="ListNumber2">
    <w:name w:val="List Number 2"/>
    <w:basedOn w:val="List2"/>
    <w:rsid w:val="002E6EB6"/>
    <w:pPr>
      <w:numPr>
        <w:numId w:val="10"/>
      </w:numPr>
      <w:tabs>
        <w:tab w:val="clear" w:pos="1060"/>
      </w:tabs>
    </w:pPr>
  </w:style>
  <w:style w:type="paragraph" w:customStyle="1" w:styleId="MarginNote">
    <w:name w:val="Margin Note"/>
    <w:basedOn w:val="BodyText"/>
    <w:rsid w:val="002E6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EB6"/>
    <w:rPr>
      <w:sz w:val="32"/>
    </w:rPr>
  </w:style>
  <w:style w:type="paragraph" w:customStyle="1" w:styleId="HeadingProcedure">
    <w:name w:val="Heading Procedure"/>
    <w:basedOn w:val="HeadingBase"/>
    <w:next w:val="Normal"/>
    <w:rsid w:val="002E6EB6"/>
    <w:pPr>
      <w:tabs>
        <w:tab w:val="left" w:pos="0"/>
      </w:tabs>
      <w:spacing w:before="120" w:after="60"/>
    </w:pPr>
    <w:rPr>
      <w:i/>
      <w:color w:val="918585"/>
      <w:sz w:val="22"/>
    </w:rPr>
  </w:style>
  <w:style w:type="paragraph" w:customStyle="1" w:styleId="TableBodyText">
    <w:name w:val="Table Body Text"/>
    <w:basedOn w:val="BodyText"/>
    <w:rsid w:val="002E6EB6"/>
    <w:pPr>
      <w:spacing w:before="60" w:after="60"/>
    </w:pPr>
  </w:style>
  <w:style w:type="paragraph" w:styleId="ListContinue">
    <w:name w:val="List Continue"/>
    <w:basedOn w:val="List"/>
    <w:rsid w:val="002E6EB6"/>
    <w:pPr>
      <w:ind w:firstLine="0"/>
    </w:pPr>
  </w:style>
  <w:style w:type="paragraph" w:customStyle="1" w:styleId="ListNote">
    <w:name w:val="List Note"/>
    <w:basedOn w:val="List"/>
    <w:rsid w:val="002E6EB6"/>
    <w:pPr>
      <w:pBdr>
        <w:top w:val="single" w:sz="6" w:space="2" w:color="918585"/>
        <w:bottom w:val="single" w:sz="6" w:space="2" w:color="918585"/>
      </w:pBdr>
      <w:tabs>
        <w:tab w:val="left" w:pos="1021"/>
      </w:tabs>
      <w:ind w:firstLine="0"/>
    </w:pPr>
  </w:style>
  <w:style w:type="paragraph" w:customStyle="1" w:styleId="Warning">
    <w:name w:val="Warning"/>
    <w:basedOn w:val="BodyText"/>
    <w:rsid w:val="002E6EB6"/>
    <w:pPr>
      <w:shd w:val="clear" w:color="auto" w:fill="D9D9D9"/>
      <w:tabs>
        <w:tab w:val="left" w:pos="992"/>
      </w:tabs>
      <w:ind w:left="119" w:right="119"/>
    </w:pPr>
    <w:rPr>
      <w:sz w:val="20"/>
    </w:rPr>
  </w:style>
  <w:style w:type="paragraph" w:customStyle="1" w:styleId="MarginIcons">
    <w:name w:val="Margin Icons"/>
    <w:basedOn w:val="BodyText"/>
    <w:rsid w:val="002E6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EB6"/>
    <w:rPr>
      <w:rFonts w:ascii="Courier New" w:hAnsi="Courier New"/>
    </w:rPr>
  </w:style>
  <w:style w:type="paragraph" w:customStyle="1" w:styleId="NoteBullet">
    <w:name w:val="Note Bullet"/>
    <w:basedOn w:val="Note"/>
    <w:rsid w:val="002E6EB6"/>
    <w:pPr>
      <w:tabs>
        <w:tab w:val="clear" w:pos="680"/>
      </w:tabs>
      <w:spacing w:before="60" w:after="60"/>
    </w:pPr>
  </w:style>
  <w:style w:type="paragraph" w:customStyle="1" w:styleId="SubHeading2">
    <w:name w:val="SubHeading2"/>
    <w:basedOn w:val="HeadingBase"/>
    <w:rsid w:val="002E6EB6"/>
    <w:pPr>
      <w:spacing w:before="240" w:after="60"/>
    </w:pPr>
    <w:rPr>
      <w:sz w:val="20"/>
    </w:rPr>
  </w:style>
  <w:style w:type="paragraph" w:customStyle="1" w:styleId="SubHeading1">
    <w:name w:val="SubHeading1"/>
    <w:basedOn w:val="HeadingBase"/>
    <w:rsid w:val="002E6EB6"/>
    <w:pPr>
      <w:spacing w:before="240" w:after="60"/>
    </w:pPr>
    <w:rPr>
      <w:color w:val="918585"/>
      <w:sz w:val="22"/>
    </w:rPr>
  </w:style>
  <w:style w:type="paragraph" w:customStyle="1" w:styleId="SideHeading">
    <w:name w:val="Side Heading"/>
    <w:basedOn w:val="HeadingBase"/>
    <w:rsid w:val="002E6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EB6"/>
    <w:pPr>
      <w:tabs>
        <w:tab w:val="num" w:pos="360"/>
      </w:tabs>
    </w:pPr>
  </w:style>
  <w:style w:type="paragraph" w:styleId="PlainText">
    <w:name w:val="Plain Text"/>
    <w:basedOn w:val="Normal"/>
    <w:link w:val="PlainTextChar"/>
    <w:rsid w:val="002E6EB6"/>
    <w:rPr>
      <w:sz w:val="20"/>
    </w:rPr>
  </w:style>
  <w:style w:type="character" w:customStyle="1" w:styleId="PlainTextChar">
    <w:name w:val="Plain Text Char"/>
    <w:basedOn w:val="DefaultParagraphFont"/>
    <w:link w:val="PlainText"/>
    <w:rsid w:val="002E6EB6"/>
    <w:rPr>
      <w:rFonts w:ascii="Courier New" w:eastAsia="Times New Roman" w:hAnsi="Courier New" w:cs="Times New Roman"/>
      <w:sz w:val="20"/>
      <w:szCs w:val="20"/>
      <w:lang w:eastAsia="en-US"/>
    </w:rPr>
  </w:style>
  <w:style w:type="character" w:customStyle="1" w:styleId="MenuOption">
    <w:name w:val="Menu Option"/>
    <w:basedOn w:val="DefaultParagraphFont"/>
    <w:rsid w:val="002E6EB6"/>
    <w:rPr>
      <w:b/>
      <w:smallCaps/>
    </w:rPr>
  </w:style>
  <w:style w:type="paragraph" w:customStyle="1" w:styleId="TableListNumber">
    <w:name w:val="Table List Number"/>
    <w:basedOn w:val="ListNumber"/>
    <w:rsid w:val="002E6EB6"/>
    <w:pPr>
      <w:numPr>
        <w:numId w:val="0"/>
      </w:numPr>
    </w:pPr>
  </w:style>
  <w:style w:type="paragraph" w:styleId="TOC4">
    <w:name w:val="toc 4"/>
    <w:basedOn w:val="TOCBase"/>
    <w:next w:val="Normal"/>
    <w:semiHidden/>
    <w:rsid w:val="002E6EB6"/>
    <w:pPr>
      <w:tabs>
        <w:tab w:val="right" w:leader="dot" w:pos="9071"/>
      </w:tabs>
      <w:ind w:left="1701"/>
    </w:pPr>
  </w:style>
  <w:style w:type="paragraph" w:customStyle="1" w:styleId="ListAlpha">
    <w:name w:val="List Alpha"/>
    <w:basedOn w:val="List"/>
    <w:rsid w:val="002E6EB6"/>
    <w:pPr>
      <w:numPr>
        <w:numId w:val="9"/>
      </w:numPr>
    </w:pPr>
  </w:style>
  <w:style w:type="paragraph" w:customStyle="1" w:styleId="ListAlpha2">
    <w:name w:val="List Alpha 2"/>
    <w:basedOn w:val="List2"/>
    <w:rsid w:val="002E6EB6"/>
    <w:pPr>
      <w:numPr>
        <w:numId w:val="8"/>
      </w:numPr>
    </w:pPr>
  </w:style>
  <w:style w:type="paragraph" w:styleId="List2">
    <w:name w:val="List 2"/>
    <w:basedOn w:val="BodyText"/>
    <w:rsid w:val="002E6EB6"/>
    <w:pPr>
      <w:tabs>
        <w:tab w:val="left" w:pos="680"/>
      </w:tabs>
      <w:spacing w:before="60" w:after="60"/>
      <w:ind w:left="680" w:hanging="340"/>
    </w:pPr>
  </w:style>
  <w:style w:type="paragraph" w:styleId="List3">
    <w:name w:val="List 3"/>
    <w:basedOn w:val="BodyText"/>
    <w:rsid w:val="002E6EB6"/>
    <w:pPr>
      <w:tabs>
        <w:tab w:val="left" w:pos="1021"/>
      </w:tabs>
      <w:spacing w:before="60" w:after="60"/>
      <w:ind w:left="1020" w:hanging="340"/>
    </w:pPr>
  </w:style>
  <w:style w:type="paragraph" w:styleId="List4">
    <w:name w:val="List 4"/>
    <w:basedOn w:val="BodyText"/>
    <w:rsid w:val="002E6EB6"/>
    <w:pPr>
      <w:tabs>
        <w:tab w:val="left" w:pos="1361"/>
      </w:tabs>
      <w:spacing w:before="60" w:after="60"/>
      <w:ind w:left="1361" w:hanging="340"/>
    </w:pPr>
  </w:style>
  <w:style w:type="paragraph" w:styleId="List5">
    <w:name w:val="List 5"/>
    <w:basedOn w:val="BodyText"/>
    <w:rsid w:val="002E6EB6"/>
    <w:pPr>
      <w:tabs>
        <w:tab w:val="left" w:pos="1701"/>
      </w:tabs>
      <w:spacing w:before="60" w:after="60"/>
      <w:ind w:left="1701" w:hanging="340"/>
    </w:pPr>
  </w:style>
  <w:style w:type="paragraph" w:styleId="ListBullet3">
    <w:name w:val="List Bullet 3"/>
    <w:basedOn w:val="List3"/>
    <w:rsid w:val="002E6EB6"/>
    <w:pPr>
      <w:numPr>
        <w:numId w:val="14"/>
      </w:numPr>
      <w:tabs>
        <w:tab w:val="clear" w:pos="1021"/>
      </w:tabs>
      <w:ind w:left="1037" w:hanging="357"/>
    </w:pPr>
  </w:style>
  <w:style w:type="paragraph" w:styleId="ListBullet4">
    <w:name w:val="List Bullet 4"/>
    <w:basedOn w:val="List4"/>
    <w:rsid w:val="002E6EB6"/>
    <w:pPr>
      <w:numPr>
        <w:numId w:val="3"/>
      </w:numPr>
      <w:tabs>
        <w:tab w:val="clear" w:pos="1361"/>
      </w:tabs>
    </w:pPr>
  </w:style>
  <w:style w:type="paragraph" w:styleId="ListBullet5">
    <w:name w:val="List Bullet 5"/>
    <w:basedOn w:val="List5"/>
    <w:rsid w:val="002E6EB6"/>
    <w:pPr>
      <w:numPr>
        <w:numId w:val="4"/>
      </w:numPr>
    </w:pPr>
  </w:style>
  <w:style w:type="paragraph" w:styleId="ListContinue2">
    <w:name w:val="List Continue 2"/>
    <w:basedOn w:val="List2"/>
    <w:rsid w:val="002E6EB6"/>
    <w:pPr>
      <w:ind w:firstLine="0"/>
    </w:pPr>
  </w:style>
  <w:style w:type="paragraph" w:styleId="ListContinue3">
    <w:name w:val="List Continue 3"/>
    <w:basedOn w:val="List3"/>
    <w:rsid w:val="002E6EB6"/>
    <w:pPr>
      <w:ind w:left="1021" w:firstLine="0"/>
    </w:pPr>
  </w:style>
  <w:style w:type="paragraph" w:styleId="ListContinue4">
    <w:name w:val="List Continue 4"/>
    <w:basedOn w:val="List4"/>
    <w:rsid w:val="002E6EB6"/>
    <w:pPr>
      <w:ind w:firstLine="0"/>
    </w:pPr>
  </w:style>
  <w:style w:type="paragraph" w:styleId="ListContinue5">
    <w:name w:val="List Continue 5"/>
    <w:basedOn w:val="List5"/>
    <w:rsid w:val="002E6EB6"/>
    <w:pPr>
      <w:ind w:firstLine="0"/>
    </w:pPr>
  </w:style>
  <w:style w:type="paragraph" w:styleId="ListNumber3">
    <w:name w:val="List Number 3"/>
    <w:basedOn w:val="List3"/>
    <w:rsid w:val="002E6EB6"/>
    <w:pPr>
      <w:numPr>
        <w:numId w:val="5"/>
      </w:numPr>
    </w:pPr>
  </w:style>
  <w:style w:type="paragraph" w:styleId="ListNumber4">
    <w:name w:val="List Number 4"/>
    <w:basedOn w:val="List4"/>
    <w:rsid w:val="002E6EB6"/>
    <w:pPr>
      <w:numPr>
        <w:numId w:val="6"/>
      </w:numPr>
    </w:pPr>
  </w:style>
  <w:style w:type="paragraph" w:styleId="ListNumber5">
    <w:name w:val="List Number 5"/>
    <w:basedOn w:val="List5"/>
    <w:rsid w:val="002E6EB6"/>
    <w:pPr>
      <w:numPr>
        <w:numId w:val="7"/>
      </w:numPr>
    </w:pPr>
  </w:style>
  <w:style w:type="paragraph" w:styleId="BlockText">
    <w:name w:val="Block Text"/>
    <w:basedOn w:val="Normal"/>
    <w:rsid w:val="002E6EB6"/>
    <w:pPr>
      <w:spacing w:after="120"/>
      <w:ind w:left="1440" w:right="1440"/>
    </w:pPr>
  </w:style>
  <w:style w:type="character" w:customStyle="1" w:styleId="Subscript">
    <w:name w:val="Subscript"/>
    <w:basedOn w:val="DefaultParagraphFont"/>
    <w:rsid w:val="002E6EB6"/>
    <w:rPr>
      <w:sz w:val="16"/>
      <w:vertAlign w:val="subscript"/>
    </w:rPr>
  </w:style>
  <w:style w:type="character" w:customStyle="1" w:styleId="Superscript">
    <w:name w:val="Superscript"/>
    <w:basedOn w:val="DefaultParagraphFont"/>
    <w:rsid w:val="002E6EB6"/>
    <w:rPr>
      <w:sz w:val="16"/>
      <w:vertAlign w:val="superscript"/>
    </w:rPr>
  </w:style>
  <w:style w:type="character" w:customStyle="1" w:styleId="Symbols">
    <w:name w:val="Symbols"/>
    <w:basedOn w:val="DefaultParagraphFont"/>
    <w:rsid w:val="002E6EB6"/>
    <w:rPr>
      <w:rFonts w:ascii="Symbol" w:hAnsi="Symbol"/>
    </w:rPr>
  </w:style>
  <w:style w:type="character" w:customStyle="1" w:styleId="MenuOptions">
    <w:name w:val="Menu Options"/>
    <w:basedOn w:val="DefaultParagraphFont"/>
    <w:rsid w:val="002E6EB6"/>
    <w:rPr>
      <w:rFonts w:ascii="Arial Narrow" w:hAnsi="Arial Narrow"/>
      <w:smallCaps/>
    </w:rPr>
  </w:style>
  <w:style w:type="character" w:customStyle="1" w:styleId="Buttons">
    <w:name w:val="Buttons"/>
    <w:basedOn w:val="DefaultParagraphFont"/>
    <w:rsid w:val="002E6EB6"/>
    <w:rPr>
      <w:b/>
    </w:rPr>
  </w:style>
  <w:style w:type="character" w:customStyle="1" w:styleId="Underlined">
    <w:name w:val="Underlined"/>
    <w:basedOn w:val="DefaultParagraphFont"/>
    <w:rsid w:val="002E6EB6"/>
    <w:rPr>
      <w:u w:val="single"/>
    </w:rPr>
  </w:style>
  <w:style w:type="paragraph" w:customStyle="1" w:styleId="TableBodyTextRight">
    <w:name w:val="Table Body Text Right"/>
    <w:basedOn w:val="TableBodyText"/>
    <w:rsid w:val="002E6EB6"/>
    <w:pPr>
      <w:widowControl w:val="0"/>
      <w:autoSpaceDE w:val="0"/>
      <w:autoSpaceDN w:val="0"/>
      <w:adjustRightInd w:val="0"/>
      <w:jc w:val="right"/>
    </w:pPr>
    <w:rPr>
      <w:rFonts w:cs="Arial"/>
      <w:szCs w:val="18"/>
    </w:rPr>
  </w:style>
  <w:style w:type="paragraph" w:customStyle="1" w:styleId="CopyrightText">
    <w:name w:val="Copyright Text"/>
    <w:basedOn w:val="BodyText"/>
    <w:rsid w:val="002E6EB6"/>
    <w:rPr>
      <w:sz w:val="18"/>
    </w:rPr>
  </w:style>
  <w:style w:type="paragraph" w:customStyle="1" w:styleId="BodySmallRight">
    <w:name w:val="Body Small Right"/>
    <w:basedOn w:val="BodyTextRight"/>
    <w:rsid w:val="002E6EB6"/>
    <w:rPr>
      <w:sz w:val="18"/>
      <w:szCs w:val="18"/>
    </w:rPr>
  </w:style>
  <w:style w:type="paragraph" w:customStyle="1" w:styleId="MarginEdition">
    <w:name w:val="Margin Edition"/>
    <w:basedOn w:val="MarginNote"/>
    <w:rsid w:val="002E6EB6"/>
    <w:pPr>
      <w:spacing w:before="0" w:after="0"/>
    </w:pPr>
    <w:rPr>
      <w:rFonts w:ascii="Times New Roman" w:hAnsi="Times New Roman"/>
      <w:color w:val="999999"/>
    </w:rPr>
  </w:style>
  <w:style w:type="paragraph" w:customStyle="1" w:styleId="Spacer">
    <w:name w:val="Spacer"/>
    <w:basedOn w:val="Normal"/>
    <w:rsid w:val="002E6EB6"/>
    <w:rPr>
      <w:sz w:val="2"/>
      <w:szCs w:val="2"/>
    </w:rPr>
  </w:style>
  <w:style w:type="character" w:customStyle="1" w:styleId="Small">
    <w:name w:val="Small"/>
    <w:basedOn w:val="DefaultParagraphFont"/>
    <w:rsid w:val="002E6EB6"/>
    <w:rPr>
      <w:sz w:val="16"/>
    </w:rPr>
  </w:style>
  <w:style w:type="paragraph" w:customStyle="1" w:styleId="WideTable">
    <w:name w:val="Wide Table"/>
    <w:basedOn w:val="Normal"/>
    <w:rsid w:val="002E6EB6"/>
    <w:pPr>
      <w:ind w:left="-1418"/>
    </w:pPr>
    <w:rPr>
      <w:sz w:val="2"/>
      <w:szCs w:val="2"/>
    </w:rPr>
  </w:style>
  <w:style w:type="character" w:styleId="PageNumber">
    <w:name w:val="page number"/>
    <w:basedOn w:val="DefaultParagraphFont"/>
    <w:rsid w:val="002E6EB6"/>
  </w:style>
  <w:style w:type="paragraph" w:styleId="Quote">
    <w:name w:val="Quote"/>
    <w:basedOn w:val="Heading1"/>
    <w:link w:val="QuoteChar"/>
    <w:qFormat/>
    <w:rsid w:val="002E6EB6"/>
    <w:rPr>
      <w:b w:val="0"/>
      <w:sz w:val="72"/>
      <w:szCs w:val="72"/>
      <w:lang w:val="en-NZ"/>
    </w:rPr>
  </w:style>
  <w:style w:type="character" w:customStyle="1" w:styleId="QuoteChar">
    <w:name w:val="Quote Char"/>
    <w:basedOn w:val="DefaultParagraphFont"/>
    <w:link w:val="Quote"/>
    <w:rsid w:val="002E6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EB6"/>
    <w:pPr>
      <w:pageBreakBefore/>
    </w:pPr>
  </w:style>
  <w:style w:type="paragraph" w:customStyle="1" w:styleId="Border">
    <w:name w:val="Border"/>
    <w:basedOn w:val="Normal"/>
    <w:qFormat/>
    <w:rsid w:val="002E6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EB6"/>
    <w:rPr>
      <w:b/>
      <w:bCs/>
      <w:i/>
      <w:iCs/>
      <w:color w:val="auto"/>
    </w:rPr>
  </w:style>
  <w:style w:type="paragraph" w:styleId="IntenseQuote">
    <w:name w:val="Intense Quote"/>
    <w:basedOn w:val="Normal"/>
    <w:next w:val="Normal"/>
    <w:link w:val="IntenseQuoteChar"/>
    <w:uiPriority w:val="30"/>
    <w:qFormat/>
    <w:rsid w:val="002E6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EB6"/>
    <w:rPr>
      <w:smallCaps/>
      <w:color w:val="auto"/>
      <w:u w:val="single"/>
    </w:rPr>
  </w:style>
  <w:style w:type="character" w:styleId="IntenseReference">
    <w:name w:val="Intense Reference"/>
    <w:basedOn w:val="DefaultParagraphFont"/>
    <w:uiPriority w:val="32"/>
    <w:qFormat/>
    <w:rsid w:val="002E6EB6"/>
    <w:rPr>
      <w:b/>
      <w:bCs/>
      <w:smallCaps/>
      <w:color w:val="auto"/>
      <w:spacing w:val="5"/>
      <w:u w:val="single"/>
    </w:rPr>
  </w:style>
  <w:style w:type="paragraph" w:customStyle="1" w:styleId="2ColumnHeading">
    <w:name w:val="2Column Heading"/>
    <w:basedOn w:val="BodyText"/>
    <w:qFormat/>
    <w:rsid w:val="002E6EB6"/>
    <w:pPr>
      <w:spacing w:after="60"/>
      <w:ind w:left="-2268"/>
    </w:pPr>
    <w:rPr>
      <w:b/>
    </w:rPr>
  </w:style>
  <w:style w:type="paragraph" w:customStyle="1" w:styleId="Heading1TOC">
    <w:name w:val="Heading1 TOC"/>
    <w:basedOn w:val="Normal"/>
    <w:qFormat/>
    <w:rsid w:val="002E6EB6"/>
    <w:pPr>
      <w:spacing w:before="240" w:after="120"/>
    </w:pPr>
    <w:rPr>
      <w:rFonts w:ascii="Times New Roman" w:hAnsi="Times New Roman"/>
      <w:b/>
      <w:sz w:val="32"/>
    </w:rPr>
  </w:style>
  <w:style w:type="paragraph" w:customStyle="1" w:styleId="Heading2TOC">
    <w:name w:val="Heading2 TOC"/>
    <w:basedOn w:val="Normal"/>
    <w:qFormat/>
    <w:rsid w:val="002E6EB6"/>
    <w:pPr>
      <w:spacing w:before="240" w:after="60"/>
    </w:pPr>
    <w:rPr>
      <w:rFonts w:ascii="Times New Roman" w:hAnsi="Times New Roman"/>
      <w:b/>
      <w:sz w:val="28"/>
    </w:rPr>
  </w:style>
  <w:style w:type="character" w:customStyle="1" w:styleId="Underline">
    <w:name w:val="Underline"/>
    <w:basedOn w:val="DefaultParagraphFont"/>
    <w:qFormat/>
    <w:rsid w:val="002E6EB6"/>
    <w:rPr>
      <w:u w:val="single"/>
    </w:rPr>
  </w:style>
  <w:style w:type="character" w:customStyle="1" w:styleId="BoldandItalics">
    <w:name w:val="Bold and Italics"/>
    <w:qFormat/>
    <w:rsid w:val="002E6EB6"/>
    <w:rPr>
      <w:b/>
      <w:i/>
      <w:u w:val="none"/>
    </w:rPr>
  </w:style>
  <w:style w:type="paragraph" w:styleId="BalloonText">
    <w:name w:val="Balloon Text"/>
    <w:basedOn w:val="Normal"/>
    <w:link w:val="BalloonTextChar"/>
    <w:rsid w:val="002E6EB6"/>
    <w:rPr>
      <w:rFonts w:ascii="Tahoma" w:hAnsi="Tahoma" w:cs="Tahoma"/>
      <w:sz w:val="16"/>
      <w:szCs w:val="16"/>
    </w:rPr>
  </w:style>
  <w:style w:type="character" w:customStyle="1" w:styleId="BalloonTextChar">
    <w:name w:val="Balloon Text Char"/>
    <w:basedOn w:val="DefaultParagraphFont"/>
    <w:link w:val="BalloonText"/>
    <w:rsid w:val="002E6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E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EB6"/>
    <w:rPr>
      <w:b/>
      <w:color w:val="660033"/>
      <w:spacing w:val="0"/>
    </w:rPr>
  </w:style>
  <w:style w:type="paragraph" w:customStyle="1" w:styleId="Nameditemlist">
    <w:name w:val="Named item list"/>
    <w:basedOn w:val="BodyText"/>
    <w:qFormat/>
    <w:rsid w:val="002E6EB6"/>
    <w:pPr>
      <w:tabs>
        <w:tab w:val="left" w:pos="2835"/>
      </w:tabs>
      <w:ind w:left="2835" w:hanging="2835"/>
    </w:pPr>
  </w:style>
  <w:style w:type="paragraph" w:customStyle="1" w:styleId="BodyTextnopadding">
    <w:name w:val="Body Text no padding"/>
    <w:basedOn w:val="BodyText"/>
    <w:qFormat/>
    <w:rsid w:val="002E6EB6"/>
    <w:pPr>
      <w:spacing w:before="0" w:after="0"/>
    </w:pPr>
  </w:style>
  <w:style w:type="paragraph" w:customStyle="1" w:styleId="BodyTextBold">
    <w:name w:val="Body Text Bold"/>
    <w:basedOn w:val="BodyText"/>
    <w:qFormat/>
    <w:rsid w:val="002E6EB6"/>
    <w:rPr>
      <w:b/>
    </w:rPr>
  </w:style>
  <w:style w:type="character" w:styleId="Hyperlink">
    <w:name w:val="Hyperlink"/>
    <w:basedOn w:val="DefaultParagraphFont"/>
    <w:uiPriority w:val="99"/>
    <w:unhideWhenUsed/>
    <w:rsid w:val="00FD21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2664</Words>
  <Characters>18069</Characters>
  <Application>Microsoft Office Word</Application>
  <DocSecurity>0</DocSecurity>
  <Lines>475</Lines>
  <Paragraphs>276</Paragraphs>
  <ScaleCrop>false</ScaleCrop>
  <Company>Author-it Software Corporation Ltd.</Company>
  <LinksUpToDate>false</LinksUpToDate>
  <CharactersWithSpaces>20457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UETTDRSB26 Install high current d.c. equipment and switchgear</dc:title>
  <dc:subject>Approved</dc:subject>
  <dc:creator>Powering Skills Organisation</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