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FD1" w:rsidP="00B71FD1">
      <w:pPr>
        <w:pStyle w:val="Title"/>
      </w:pPr>
      <w:r>
        <w:fldChar w:fldCharType="begin"/>
      </w:r>
      <w:r>
        <w:instrText xml:space="preserve"> TITLE   \* MERGEFORMAT </w:instrText>
      </w:r>
      <w:r>
        <w:fldChar w:fldCharType="separate"/>
      </w:r>
      <w:r>
        <w:t>UETTDRSB22 Carry out power systems substation inspection</w:t>
      </w:r>
      <w:r>
        <w:fldChar w:fldCharType="end"/>
      </w:r>
    </w:p>
    <w:p w:rsidR="00B71FD1" w:rsidP="00B71FD1">
      <w:pPr>
        <w:pStyle w:val="Version"/>
        <w:sectPr w:rsidSect="009C22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2A4" w:rsidP="009C22A4">
      <w:pPr>
        <w:pStyle w:val="SuperHeading"/>
      </w:pPr>
      <w:r w:rsidRPr="009C22A4">
        <w:t>UETTDRSB22 Carry out power systems substation inspection</w:t>
      </w:r>
    </w:p>
    <w:p w:rsidR="00000000" w:rsidRPr="009C22A4" w:rsidP="009C22A4">
      <w:pPr>
        <w:pStyle w:val="Heading1"/>
      </w:pPr>
      <w:bookmarkStart w:id="1" w:name="O_1004454"/>
      <w:bookmarkEnd w:id="1"/>
      <w:r w:rsidRPr="009C22A4">
        <w:t>Modification History</w:t>
      </w:r>
    </w:p>
    <w:tbl>
      <w:tblPr>
        <w:tblW w:w="9497" w:type="dxa"/>
        <w:tblLayout w:type="fixed"/>
        <w:tblCellMar>
          <w:left w:w="62" w:type="dxa"/>
          <w:right w:w="62" w:type="dxa"/>
        </w:tblCellMar>
        <w:tblLook w:val="0000"/>
      </w:tblPr>
      <w:tblGrid>
        <w:gridCol w:w="9497"/>
      </w:tblGrid>
      <w:tr w:rsidTr="009C22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t>Release 1. This is the first release of this unit of competency in the UET Transmission, Distribution and Rail Sector Training Package.</w:t>
            </w:r>
          </w:p>
        </w:tc>
      </w:tr>
    </w:tbl>
    <w:p w:rsidR="00000000" w:rsidRPr="009C22A4" w:rsidP="009C22A4">
      <w:pPr>
        <w:pStyle w:val="NoPaddingFontSize1"/>
      </w:pPr>
    </w:p>
    <w:p w:rsidR="00000000" w:rsidRPr="009C22A4" w:rsidP="009C22A4">
      <w:pPr>
        <w:pStyle w:val="AllowPageBreak"/>
      </w:pPr>
    </w:p>
    <w:p w:rsidR="00000000" w:rsidRPr="009C22A4" w:rsidP="009C22A4">
      <w:pPr>
        <w:pStyle w:val="Heading1"/>
      </w:pPr>
      <w:bookmarkStart w:id="2" w:name="O_1004455"/>
      <w:bookmarkEnd w:id="2"/>
      <w:r w:rsidRPr="009C22A4">
        <w:t>Application</w:t>
      </w:r>
    </w:p>
    <w:tbl>
      <w:tblPr>
        <w:tblW w:w="9497" w:type="dxa"/>
        <w:tblLayout w:type="fixed"/>
        <w:tblCellMar>
          <w:left w:w="62" w:type="dxa"/>
          <w:right w:w="62" w:type="dxa"/>
        </w:tblCellMar>
        <w:tblLook w:val="0000"/>
      </w:tblPr>
      <w:tblGrid>
        <w:gridCol w:w="9497"/>
      </w:tblGrid>
      <w:tr w:rsidTr="009C22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t>This unit involves the skills and knowledge requ</w:t>
            </w:r>
            <w:r w:rsidRPr="009C22A4">
              <w:t>ired to carry out power system substation inspection in the electricity supply industry (ESI).</w:t>
            </w:r>
          </w:p>
          <w:p w:rsidR="00000000" w:rsidRPr="009C22A4" w:rsidP="009C22A4">
            <w:pPr>
              <w:pStyle w:val="BodyText"/>
            </w:pPr>
            <w:r w:rsidRPr="009C22A4">
              <w:t>It includes the security, electrical and environmental inspections of substations, , recording of information and reporting defective/non-compliant conditions in</w:t>
            </w:r>
            <w:r w:rsidRPr="009C22A4">
              <w:t xml:space="preserve"> accordance with industry standards and workplace procedures.</w:t>
            </w:r>
          </w:p>
          <w:p w:rsidR="00000000" w:rsidRPr="009C22A4" w:rsidP="009C22A4">
            <w:pPr>
              <w:pStyle w:val="BodyText"/>
            </w:pPr>
            <w:r w:rsidRPr="009C22A4">
              <w:t>The application of the skills and knowledge described in this unit may require a licence to practice in the workplace.</w:t>
            </w:r>
          </w:p>
          <w:p w:rsidR="00000000" w:rsidRPr="009C22A4" w:rsidP="009C22A4">
            <w:pPr>
              <w:pStyle w:val="BodyText"/>
            </w:pPr>
            <w:r w:rsidRPr="009C22A4">
              <w:t>Other conditions may apply under State and Territory legislative and regula</w:t>
            </w:r>
            <w:r w:rsidRPr="009C22A4">
              <w:t>tory licensing requirement which must be confirmed prior to commencing this unit.</w:t>
            </w:r>
          </w:p>
        </w:tc>
      </w:tr>
    </w:tbl>
    <w:p w:rsidR="00000000" w:rsidRPr="009C22A4" w:rsidP="009C22A4">
      <w:pPr>
        <w:pStyle w:val="NoPaddingFontSize1"/>
      </w:pPr>
    </w:p>
    <w:p w:rsidR="00000000" w:rsidRPr="009C22A4" w:rsidP="009C22A4">
      <w:pPr>
        <w:pStyle w:val="AllowPageBreak"/>
      </w:pPr>
    </w:p>
    <w:p w:rsidR="00000000" w:rsidRPr="009C22A4" w:rsidP="009C22A4">
      <w:pPr>
        <w:pStyle w:val="Heading1"/>
      </w:pPr>
      <w:bookmarkStart w:id="3" w:name="O_1004456"/>
      <w:bookmarkEnd w:id="3"/>
      <w:r w:rsidRPr="009C22A4">
        <w:t>Pre-requisite Unit</w:t>
      </w:r>
    </w:p>
    <w:tbl>
      <w:tblPr>
        <w:tblW w:w="9497" w:type="dxa"/>
        <w:tblLayout w:type="fixed"/>
        <w:tblCellMar>
          <w:left w:w="62" w:type="dxa"/>
          <w:right w:w="62" w:type="dxa"/>
        </w:tblCellMar>
        <w:tblLook w:val="0000"/>
      </w:tblPr>
      <w:tblGrid>
        <w:gridCol w:w="9497"/>
      </w:tblGrid>
      <w:tr w:rsidTr="009C22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t>All competencies in the Common Unit Group must have been completed, plus all competencies in one (1) of the identified Pathway Unit Gr</w:t>
            </w:r>
            <w:r w:rsidRPr="009C22A4">
              <w:t>oup(s).</w:t>
            </w:r>
          </w:p>
          <w:p w:rsidR="00000000" w:rsidRPr="009C22A4" w:rsidP="009C22A4">
            <w:pPr>
              <w:pStyle w:val="BodyText"/>
            </w:pPr>
            <w:r w:rsidRPr="009C22A4">
              <w:t>Common Unit Group</w:t>
            </w:r>
          </w:p>
          <w:p w:rsidR="00000000" w:rsidRPr="009C22A4" w:rsidP="009C22A4">
            <w:pPr>
              <w:pStyle w:val="BodyText"/>
            </w:pPr>
            <w:r w:rsidRPr="009C22A4">
              <w:t>UEENEEE101A Apply Occupational Health and Safety regulations, codes and practices in the workplace</w:t>
            </w:r>
          </w:p>
          <w:p w:rsidR="00000000" w:rsidRPr="009C22A4" w:rsidP="009C22A4">
            <w:pPr>
              <w:pStyle w:val="BodyText"/>
            </w:pPr>
            <w:r w:rsidRPr="009C22A4">
              <w:t>UEENEEE102A Fabricate, assemble and dismantle utilities industry components</w:t>
            </w:r>
          </w:p>
          <w:p w:rsidR="00000000" w:rsidRPr="009C22A4" w:rsidP="009C22A4">
            <w:pPr>
              <w:pStyle w:val="BodyText"/>
            </w:pPr>
            <w:r w:rsidRPr="009C22A4">
              <w:t>UEENEEE104A Solve problems in d.c. circuits</w:t>
            </w:r>
          </w:p>
          <w:p w:rsidR="00000000" w:rsidRPr="009C22A4" w:rsidP="009C22A4">
            <w:pPr>
              <w:pStyle w:val="BodyText"/>
            </w:pPr>
            <w:r w:rsidRPr="009C22A4">
              <w:t>UEENEEE105A</w:t>
            </w:r>
            <w:r w:rsidRPr="009C22A4">
              <w:t xml:space="preserve"> Fix and secure electrotechnology equipment</w:t>
            </w:r>
          </w:p>
          <w:p w:rsidR="00000000" w:rsidRPr="009C22A4" w:rsidP="009C22A4">
            <w:pPr>
              <w:pStyle w:val="BodyText"/>
            </w:pPr>
            <w:r w:rsidRPr="009C22A4">
              <w:t>UEENEEE107A Use drawings, diagrams, schedules, standards, codes and specifications</w:t>
            </w:r>
          </w:p>
          <w:p w:rsidR="00000000" w:rsidRPr="009C22A4" w:rsidP="009C22A4">
            <w:pPr>
              <w:pStyle w:val="BodyText"/>
            </w:pPr>
            <w:r w:rsidRPr="009C22A4">
              <w:t>UEENEEE137A Document and apply measures to control OHS risks associated with electrotechnology work</w:t>
            </w:r>
          </w:p>
          <w:p w:rsidR="00000000" w:rsidRPr="009C22A4" w:rsidP="009C22A4">
            <w:pPr>
              <w:pStyle w:val="BodyText"/>
            </w:pPr>
            <w:r w:rsidRPr="009C22A4">
              <w:t>UEENEEG006A Solve problems in single and three phase low voltage machines</w:t>
            </w:r>
          </w:p>
          <w:p w:rsidR="00000000" w:rsidRPr="009C22A4" w:rsidP="009C22A4">
            <w:pPr>
              <w:pStyle w:val="BodyText"/>
            </w:pPr>
            <w:r w:rsidRPr="009C22A4">
              <w:t>UEENEEG033A Solve problems in single and three phase low voltage electrical apparatus and circuits</w:t>
            </w:r>
          </w:p>
          <w:p w:rsidR="00000000" w:rsidRPr="009C22A4" w:rsidP="009C22A4">
            <w:pPr>
              <w:pStyle w:val="BodyText"/>
            </w:pPr>
            <w:r w:rsidRPr="009C22A4">
              <w:t>UEENEEG063A Arrange circuits, control and protection for general electrical install</w:t>
            </w:r>
            <w:r w:rsidRPr="009C22A4">
              <w:t>ations</w:t>
            </w:r>
          </w:p>
          <w:p w:rsidR="00000000" w:rsidRPr="009C22A4" w:rsidP="009C22A4">
            <w:pPr>
              <w:pStyle w:val="BodyText"/>
            </w:pPr>
            <w:r w:rsidRPr="009C22A4">
              <w:t>UEENEEG101A Solve problems in electromagnetic devices and related circuits</w:t>
            </w:r>
          </w:p>
          <w:p w:rsidR="00000000" w:rsidRPr="009C22A4" w:rsidP="009C22A4">
            <w:pPr>
              <w:pStyle w:val="BodyText"/>
            </w:pPr>
            <w:r w:rsidRPr="009C22A4">
              <w:t>UEENEEG102A Solve problems in low voltage a.c. circuits</w:t>
            </w:r>
          </w:p>
          <w:p w:rsidR="00000000" w:rsidRPr="009C22A4" w:rsidP="009C22A4">
            <w:pPr>
              <w:pStyle w:val="BodyText"/>
            </w:pPr>
            <w:r w:rsidRPr="009C22A4">
              <w:t>UEENEEG106A Terminate cables, cords and accessories for low voltage circuits</w:t>
            </w:r>
          </w:p>
          <w:p w:rsidR="00000000" w:rsidRPr="009C22A4" w:rsidP="009C22A4">
            <w:pPr>
              <w:pStyle w:val="BodyText"/>
            </w:pPr>
            <w:r w:rsidRPr="009C22A4">
              <w:t>UEENEEG108A Trouble-shoot and repair faul</w:t>
            </w:r>
            <w:r w:rsidRPr="009C22A4">
              <w:t>ts in low voltage electrical apparatus and circuits</w:t>
            </w:r>
          </w:p>
          <w:p w:rsidR="00000000" w:rsidRPr="009C22A4" w:rsidP="009C22A4">
            <w:pPr>
              <w:pStyle w:val="BodyText"/>
            </w:pPr>
            <w:r w:rsidRPr="009C22A4">
              <w:t>UEENEEG109A Develop and connect electrical control circuits</w:t>
            </w:r>
          </w:p>
          <w:p w:rsidR="00000000" w:rsidRPr="009C22A4" w:rsidP="009C22A4">
            <w:pPr>
              <w:pStyle w:val="BodyText"/>
            </w:pPr>
            <w:r w:rsidRPr="009C22A4">
              <w:t>UEENEEK142A Apply environmentally and sustainable procedures in the energy sector</w:t>
            </w:r>
          </w:p>
          <w:p w:rsidR="00000000" w:rsidRPr="009C22A4" w:rsidP="009C22A4">
            <w:pPr>
              <w:pStyle w:val="BodyText"/>
            </w:pPr>
            <w:r w:rsidRPr="009C22A4">
              <w:t>Pathway 1 - Electrician</w:t>
            </w:r>
          </w:p>
          <w:p w:rsidR="00000000" w:rsidRPr="009C22A4" w:rsidP="009C22A4">
            <w:pPr>
              <w:pStyle w:val="BodyText"/>
            </w:pPr>
            <w:r w:rsidRPr="009C22A4">
              <w:t>UEENEEG103A Install low voltage wiring</w:t>
            </w:r>
            <w:r w:rsidRPr="009C22A4">
              <w:t xml:space="preserve"> and accessories</w:t>
            </w:r>
          </w:p>
          <w:p w:rsidR="00000000" w:rsidRPr="009C22A4" w:rsidP="009C22A4">
            <w:pPr>
              <w:pStyle w:val="BodyText"/>
            </w:pPr>
            <w:r w:rsidRPr="009C22A4">
              <w:t>UEENEEG104A Install appliances, switchgear and associated accessories for low voltage electrical installations</w:t>
            </w:r>
          </w:p>
          <w:p w:rsidR="00000000" w:rsidRPr="009C22A4" w:rsidP="009C22A4">
            <w:pPr>
              <w:pStyle w:val="BodyText"/>
            </w:pPr>
            <w:r w:rsidRPr="009C22A4">
              <w:t>UEENEEG105A Verify compliance and functionality of low voltage general electrical installations</w:t>
            </w:r>
          </w:p>
          <w:p w:rsidR="00000000" w:rsidRPr="009C22A4" w:rsidP="009C22A4">
            <w:pPr>
              <w:pStyle w:val="BodyText"/>
            </w:pPr>
            <w:r w:rsidRPr="009C22A4">
              <w:t>UEENEEG107A Select wiring system</w:t>
            </w:r>
            <w:r w:rsidRPr="009C22A4">
              <w:t>s and cables for low voltage general electrical installations</w:t>
            </w:r>
          </w:p>
          <w:p w:rsidR="00000000" w:rsidRPr="009C22A4" w:rsidP="009C22A4">
            <w:pPr>
              <w:pStyle w:val="BodyText"/>
            </w:pPr>
            <w:r w:rsidRPr="009C22A4">
              <w:t>Pathway 2 - Electrical Fitter</w:t>
            </w:r>
          </w:p>
          <w:p w:rsidR="00000000" w:rsidRPr="009C22A4" w:rsidP="009C22A4">
            <w:pPr>
              <w:pStyle w:val="BodyText"/>
            </w:pPr>
            <w:r w:rsidRPr="009C22A4">
              <w:t>UEENEEG199A Conduct compliance and functional verification of electrical apparatus and existing circuits</w:t>
            </w:r>
          </w:p>
        </w:tc>
      </w:tr>
    </w:tbl>
    <w:p w:rsidR="00000000" w:rsidRPr="009C22A4" w:rsidP="009C22A4">
      <w:pPr>
        <w:pStyle w:val="NoPaddingFontSize1"/>
      </w:pPr>
    </w:p>
    <w:p w:rsidR="00000000" w:rsidRPr="009C22A4" w:rsidP="009C22A4">
      <w:pPr>
        <w:pStyle w:val="AllowPageBreak"/>
      </w:pPr>
    </w:p>
    <w:p w:rsidR="00000000" w:rsidRPr="009C22A4" w:rsidP="009C22A4">
      <w:pPr>
        <w:pStyle w:val="Heading1"/>
      </w:pPr>
      <w:bookmarkStart w:id="4" w:name="O_1004457"/>
      <w:bookmarkEnd w:id="4"/>
      <w:r w:rsidRPr="009C22A4">
        <w:t>Competency Field</w:t>
      </w:r>
    </w:p>
    <w:tbl>
      <w:tblPr>
        <w:tblW w:w="9497" w:type="dxa"/>
        <w:tblLayout w:type="fixed"/>
        <w:tblCellMar>
          <w:left w:w="62" w:type="dxa"/>
          <w:right w:w="62" w:type="dxa"/>
        </w:tblCellMar>
        <w:tblLook w:val="0000"/>
      </w:tblPr>
      <w:tblGrid>
        <w:gridCol w:w="9497"/>
      </w:tblGrid>
      <w:tr w:rsidTr="009C22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t>Substation</w:t>
            </w:r>
          </w:p>
        </w:tc>
      </w:tr>
    </w:tbl>
    <w:p w:rsidR="00000000" w:rsidRPr="009C22A4" w:rsidP="009C22A4">
      <w:pPr>
        <w:pStyle w:val="NoPaddingFontSize1"/>
      </w:pPr>
    </w:p>
    <w:p w:rsidR="00000000" w:rsidRPr="009C22A4" w:rsidP="009C22A4">
      <w:pPr>
        <w:pStyle w:val="AllowPageBreak"/>
      </w:pPr>
    </w:p>
    <w:p w:rsidR="00000000" w:rsidRPr="009C22A4" w:rsidP="009C22A4">
      <w:pPr>
        <w:pStyle w:val="Heading1"/>
      </w:pPr>
      <w:bookmarkStart w:id="5" w:name="O_1004458"/>
      <w:bookmarkEnd w:id="5"/>
      <w:r w:rsidRPr="009C22A4">
        <w:t>Unit Sector</w:t>
      </w:r>
    </w:p>
    <w:tbl>
      <w:tblPr>
        <w:tblW w:w="9497" w:type="dxa"/>
        <w:tblLayout w:type="fixed"/>
        <w:tblCellMar>
          <w:left w:w="62" w:type="dxa"/>
          <w:right w:w="62" w:type="dxa"/>
        </w:tblCellMar>
        <w:tblLook w:val="0000"/>
      </w:tblPr>
      <w:tblGrid>
        <w:gridCol w:w="9497"/>
      </w:tblGrid>
      <w:tr w:rsidTr="009C22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t>Not applicable.</w:t>
            </w:r>
          </w:p>
        </w:tc>
      </w:tr>
    </w:tbl>
    <w:p w:rsidR="00000000" w:rsidRPr="009C22A4" w:rsidP="009C22A4">
      <w:pPr>
        <w:pStyle w:val="NoPaddingFontSize1"/>
      </w:pPr>
    </w:p>
    <w:p w:rsidR="00000000" w:rsidRPr="009C22A4" w:rsidP="009C22A4">
      <w:pPr>
        <w:pStyle w:val="AllowPageBreak"/>
      </w:pPr>
    </w:p>
    <w:p w:rsidR="00000000" w:rsidRPr="009C22A4" w:rsidP="009C22A4">
      <w:pPr>
        <w:pStyle w:val="Heading1"/>
      </w:pPr>
      <w:bookmarkStart w:id="6" w:name="O_1004459"/>
      <w:bookmarkEnd w:id="6"/>
      <w:r w:rsidRPr="009C22A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C22A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PERFORMANCE CRITERIA</w:t>
            </w:r>
          </w:p>
        </w:tc>
      </w:tr>
      <w:tr w:rsidTr="009C22A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Performance criteria describe the performance n</w:t>
            </w:r>
            <w:r w:rsidRPr="009C22A4">
              <w:t>eeded to demonstrate achievement of the element.</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rPr>
                <w:rStyle w:val="SpecialBold"/>
              </w:rPr>
              <w:t>Plan to carry out substation inspections</w:t>
            </w: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Work schedules, construction plans, drawings, workplace procedures and material lists are obtained and analysed</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Job requirements and workplace procedu</w:t>
            </w:r>
            <w:r w:rsidRPr="009C22A4">
              <w:t>res are identified and communicated with relevant personnel</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 xml:space="preserve">Hazards are identified, work health and safety (WHS)/occupational health and safety (OHS)risks assessed and control measures prioritised, implemented and monitored </w:t>
            </w:r>
            <w:r w:rsidRPr="009C22A4">
              <w:t>in accordance with workplace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Work is prioritised and sequenced for completion within acceptable timeframes following consultation with relevant personnel and in accordance with workplace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Risk control measures are identif</w:t>
            </w:r>
            <w:r w:rsidRPr="009C22A4">
              <w:t>ied, prioritised, implemented and evaluated against the work schedule</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Equipment, tools and personal protective equipment (PPE) required for work are identified, obtained and confirmed in working order</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Liaison and communication issues with authorised personnel, authorities, clients and land owners are resolved to facilitate work, as required</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Personnel participating in work are fully briefed and responsibilities confirmed in accordance with workpla</w:t>
            </w:r>
            <w:r w:rsidRPr="009C22A4">
              <w:t>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Worksite is prepared to minimise risk, damage to property, commerce and individuals in accordance with workplace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rPr>
                <w:rStyle w:val="SpecialBold"/>
              </w:rPr>
              <w:t>Carry out substation inspections</w:t>
            </w: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 xml:space="preserve">WHS/OHS, sustainable energy and environmental principles and practices </w:t>
            </w:r>
            <w:r w:rsidRPr="009C22A4">
              <w:t>are monitored and actioned to reduce incidents of accidents in accordance with workplace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Cardiopulmonary resuscitation (CPR), rescue from live electrical apparatus and other related safety procedures are in place in accordance with job re</w:t>
            </w:r>
            <w:r w:rsidRPr="009C22A4">
              <w:t>quirements and/or workplace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Safe working documentation is acquired, as appropriate, and requirements completed in accordance with workplace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Requirements for lifting, climbing, working at heights, confined spaces and use of power tools/equipment are followed in accordance with workplace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 xml:space="preserve">Hazard warnings and safety signs are recognised and hazards and assessed WHS/OHS risks are </w:t>
            </w:r>
            <w:r w:rsidRPr="009C22A4">
              <w:t>reported to the immediate authorised persons for directions in accordance with workplace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Substation equipment, environmental protection systems and security systems are inspected to comply with job requirements and workplace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Critical defects are assessed for level of safety/system impact and communicated to appropriate personnel for further action</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Minor defects and/or non-conformances are rectified in-situ</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Substation inspections are performed to ensure completion in agreed timeframes, to quality standards and in accordance with workplace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Unplanned events are responded to in accordance with workplace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rPr>
                <w:rStyle w:val="SpecialBold"/>
              </w:rPr>
              <w:t>Record the outcomes of sub</w:t>
            </w:r>
            <w:r w:rsidRPr="009C22A4">
              <w:rPr>
                <w:rStyle w:val="SpecialBold"/>
              </w:rPr>
              <w:t>station inspections</w:t>
            </w: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Completed work is checked against works schedule, construction plans and drawings for compliance and anomalies are reported in accordance with workplace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Safe working documentation is surrendered in accordance with workplace procedures, as required</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Worksite is cleaned and confirmed safe in accordance with workplace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Tools, equipment, surplus resources and materials are, where appropr</w:t>
            </w:r>
            <w:r w:rsidRPr="009C22A4">
              <w:t>iate, cleaned, checked and returned to storage in accordance with workplace procedures</w:t>
            </w:r>
          </w:p>
        </w:tc>
      </w:tr>
      <w:tr w:rsidTr="009C22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C22A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t>Work records, reports and/or documentation are completed in accordance with workplace procedures and appropriate personnel are notified</w:t>
            </w:r>
          </w:p>
        </w:tc>
      </w:tr>
    </w:tbl>
    <w:p w:rsidR="00000000" w:rsidRPr="009C22A4" w:rsidP="009C22A4">
      <w:pPr>
        <w:pStyle w:val="NoPaddingFontSize1"/>
      </w:pPr>
    </w:p>
    <w:p w:rsidR="00000000" w:rsidRPr="009C22A4" w:rsidP="009C22A4">
      <w:pPr>
        <w:pStyle w:val="AllowPageBreak"/>
      </w:pPr>
    </w:p>
    <w:p w:rsidR="00000000" w:rsidRPr="009C22A4" w:rsidP="009C22A4">
      <w:pPr>
        <w:pStyle w:val="Heading1"/>
      </w:pPr>
      <w:bookmarkStart w:id="7" w:name="O_1004460"/>
      <w:bookmarkEnd w:id="7"/>
      <w:r w:rsidRPr="009C22A4">
        <w:t>Foundation Skills</w:t>
      </w:r>
    </w:p>
    <w:tbl>
      <w:tblPr>
        <w:tblW w:w="9497" w:type="dxa"/>
        <w:tblLayout w:type="fixed"/>
        <w:tblCellMar>
          <w:left w:w="62" w:type="dxa"/>
          <w:right w:w="62" w:type="dxa"/>
        </w:tblCellMar>
        <w:tblLook w:val="0000"/>
      </w:tblPr>
      <w:tblGrid>
        <w:gridCol w:w="9497"/>
      </w:tblGrid>
      <w:tr w:rsidTr="009C22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t>Foundation skills essential to performance are explicit in the performance criteria of this unit of competency.</w:t>
            </w:r>
          </w:p>
        </w:tc>
      </w:tr>
    </w:tbl>
    <w:p w:rsidR="00000000" w:rsidRPr="009C22A4" w:rsidP="009C22A4">
      <w:pPr>
        <w:pStyle w:val="NoPaddingFontSize1"/>
      </w:pPr>
    </w:p>
    <w:p w:rsidR="00000000" w:rsidRPr="009C22A4" w:rsidP="009C22A4">
      <w:pPr>
        <w:pStyle w:val="AllowPageBreak"/>
      </w:pPr>
    </w:p>
    <w:p w:rsidR="00000000" w:rsidRPr="009C22A4" w:rsidP="009C22A4">
      <w:pPr>
        <w:pStyle w:val="Heading1"/>
      </w:pPr>
      <w:bookmarkStart w:id="8" w:name="O_1004461"/>
      <w:bookmarkEnd w:id="8"/>
      <w:r w:rsidRPr="009C22A4">
        <w:t>Range of Conditions</w:t>
      </w:r>
    </w:p>
    <w:tbl>
      <w:tblPr>
        <w:tblW w:w="9497" w:type="dxa"/>
        <w:tblLayout w:type="fixed"/>
        <w:tblCellMar>
          <w:left w:w="62" w:type="dxa"/>
          <w:right w:w="62" w:type="dxa"/>
        </w:tblCellMar>
        <w:tblLook w:val="0000"/>
      </w:tblPr>
      <w:tblGrid>
        <w:gridCol w:w="9497"/>
      </w:tblGrid>
      <w:tr w:rsidTr="009C22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t>Range is restricted to essential operating conditions and any other variables essenti</w:t>
            </w:r>
            <w:r w:rsidRPr="009C22A4">
              <w:t>al to the work environment.</w:t>
            </w:r>
          </w:p>
          <w:p w:rsidR="00000000" w:rsidRPr="009C22A4" w:rsidP="009C22A4">
            <w:pPr>
              <w:pStyle w:val="BodyText"/>
            </w:pPr>
            <w:r w:rsidRPr="009C22A4">
              <w:t>Non-essential conditions may be found in the Companion Volume Implementation Guide.</w:t>
            </w:r>
          </w:p>
        </w:tc>
      </w:tr>
    </w:tbl>
    <w:p w:rsidR="00000000" w:rsidRPr="009C22A4" w:rsidP="009C22A4">
      <w:pPr>
        <w:pStyle w:val="NoPaddingFontSize1"/>
      </w:pPr>
    </w:p>
    <w:p w:rsidR="00000000" w:rsidRPr="009C22A4" w:rsidP="009C22A4">
      <w:pPr>
        <w:pStyle w:val="AllowPageBreak"/>
      </w:pPr>
    </w:p>
    <w:p w:rsidR="00000000" w:rsidRPr="009C22A4" w:rsidP="009C22A4">
      <w:pPr>
        <w:pStyle w:val="Heading1"/>
      </w:pPr>
      <w:bookmarkStart w:id="9" w:name="O_1004462"/>
      <w:bookmarkEnd w:id="9"/>
      <w:r w:rsidRPr="009C22A4">
        <w:t>Unit Mapping Information</w:t>
      </w:r>
    </w:p>
    <w:tbl>
      <w:tblPr>
        <w:tblW w:w="9497" w:type="dxa"/>
        <w:tblLayout w:type="fixed"/>
        <w:tblCellMar>
          <w:left w:w="62" w:type="dxa"/>
          <w:right w:w="62" w:type="dxa"/>
        </w:tblCellMar>
        <w:tblLook w:val="0000"/>
      </w:tblPr>
      <w:tblGrid>
        <w:gridCol w:w="9497"/>
      </w:tblGrid>
      <w:tr w:rsidTr="009C22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t>This unit replaces and is equivalent to UETTDRSB22A Carry out power systems substation inspection.</w:t>
            </w:r>
          </w:p>
        </w:tc>
      </w:tr>
    </w:tbl>
    <w:p w:rsidR="00000000" w:rsidRPr="009C22A4" w:rsidP="009C22A4">
      <w:pPr>
        <w:pStyle w:val="NoPaddingFontSize1"/>
      </w:pPr>
    </w:p>
    <w:p w:rsidR="00000000" w:rsidRPr="009C22A4" w:rsidP="009C22A4">
      <w:pPr>
        <w:pStyle w:val="AllowPageBreak"/>
      </w:pPr>
    </w:p>
    <w:p w:rsidR="00000000" w:rsidRPr="009C22A4" w:rsidP="009C22A4">
      <w:pPr>
        <w:pStyle w:val="Heading1"/>
      </w:pPr>
      <w:bookmarkStart w:id="10" w:name="O_1004469"/>
      <w:bookmarkEnd w:id="10"/>
      <w:r w:rsidRPr="009C22A4">
        <w:t>Links</w:t>
      </w:r>
    </w:p>
    <w:p w:rsidR="00000000" w:rsidRPr="009C22A4" w:rsidP="00B71FD1">
      <w:pPr>
        <w:pStyle w:val="BodyText"/>
      </w:pPr>
      <w:r w:rsidRPr="009C22A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70886">
        <w:rPr>
          <w:rStyle w:val="Hyperlink"/>
        </w:rPr>
        <w:t>https://vetnet.gov.au/Pages/TrainingDocs.aspx?q=229bace1-b7bc-4653-9300-dffb13ecfad7</w:t>
      </w:r>
      <w:r>
        <w:fldChar w:fldCharType="end"/>
      </w:r>
    </w:p>
    <w:p w:rsidR="00000000" w:rsidRPr="009C22A4" w:rsidP="00B71FD1">
      <w:pPr>
        <w:pStyle w:val="BodyText"/>
        <w:sectPr w:rsidSect="009C22A4">
          <w:headerReference w:type="default" r:id="rId10"/>
          <w:footerReference w:type="default" r:id="rId11"/>
          <w:pgSz w:w="11908" w:h="16833"/>
          <w:pgMar w:top="1702" w:right="1418" w:bottom="1702" w:left="1418" w:header="992" w:footer="992" w:gutter="0"/>
          <w:cols w:space="720"/>
          <w:noEndnote/>
          <w:docGrid w:linePitch="299"/>
        </w:sectPr>
      </w:pPr>
    </w:p>
    <w:p w:rsidR="00000000" w:rsidRPr="009C22A4" w:rsidP="009C22A4">
      <w:pPr>
        <w:pStyle w:val="SuperHeading"/>
      </w:pPr>
      <w:r w:rsidRPr="009C22A4">
        <w:t xml:space="preserve">Assessment </w:t>
      </w:r>
      <w:r w:rsidRPr="009C22A4">
        <w:t>Requirements for UETTDRSB22 Carry out power systems substation inspection</w:t>
      </w:r>
    </w:p>
    <w:p w:rsidR="00000000" w:rsidRPr="009C22A4" w:rsidP="009C22A4">
      <w:pPr>
        <w:pStyle w:val="Heading1"/>
      </w:pPr>
      <w:bookmarkStart w:id="11" w:name="O_1004464"/>
      <w:bookmarkEnd w:id="11"/>
      <w:r w:rsidRPr="009C22A4">
        <w:t>Modification History</w:t>
      </w:r>
    </w:p>
    <w:tbl>
      <w:tblPr>
        <w:tblW w:w="9497" w:type="dxa"/>
        <w:tblLayout w:type="fixed"/>
        <w:tblCellMar>
          <w:left w:w="62" w:type="dxa"/>
          <w:right w:w="62" w:type="dxa"/>
        </w:tblCellMar>
        <w:tblLook w:val="0000"/>
      </w:tblPr>
      <w:tblGrid>
        <w:gridCol w:w="9497"/>
      </w:tblGrid>
      <w:tr w:rsidTr="009C22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t>Release 1. This is the first release of this unit of competency in the UET Transmission, Distribution and Rail Sector Training Package.</w:t>
            </w:r>
          </w:p>
        </w:tc>
      </w:tr>
    </w:tbl>
    <w:p w:rsidR="00000000" w:rsidRPr="009C22A4" w:rsidP="009C22A4">
      <w:pPr>
        <w:pStyle w:val="NoPaddingFontSize1"/>
      </w:pPr>
    </w:p>
    <w:p w:rsidR="00000000" w:rsidRPr="009C22A4" w:rsidP="009C22A4">
      <w:pPr>
        <w:pStyle w:val="AllowPageBreak"/>
      </w:pPr>
    </w:p>
    <w:p w:rsidR="00000000" w:rsidRPr="009C22A4" w:rsidP="009C22A4">
      <w:pPr>
        <w:pStyle w:val="Heading1"/>
      </w:pPr>
      <w:bookmarkStart w:id="12" w:name="O_1004465"/>
      <w:bookmarkEnd w:id="12"/>
      <w:r w:rsidRPr="009C22A4">
        <w:t>Performance Evidence</w:t>
      </w:r>
    </w:p>
    <w:tbl>
      <w:tblPr>
        <w:tblW w:w="9497" w:type="dxa"/>
        <w:tblLayout w:type="fixed"/>
        <w:tblCellMar>
          <w:left w:w="62" w:type="dxa"/>
          <w:right w:w="62" w:type="dxa"/>
        </w:tblCellMar>
        <w:tblLook w:val="0000"/>
      </w:tblPr>
      <w:tblGrid>
        <w:gridCol w:w="9497"/>
      </w:tblGrid>
      <w:tr w:rsidTr="009C22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 xml:space="preserve">Evidence required to demonstrate competence in this unit must be relevant to and satisfy all of the requirements of the elements and performance criteria on at least two separate occasions and include:  </w:t>
            </w:r>
          </w:p>
        </w:tc>
      </w:tr>
      <w:tr w:rsidTr="009C22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2A4" w:rsidP="009C22A4">
            <w:pPr>
              <w:pStyle w:val="ListBullet"/>
            </w:pPr>
            <w:r w:rsidRPr="009C22A4">
              <w:t>applying re</w:t>
            </w:r>
            <w:r w:rsidRPr="009C22A4">
              <w:t xml:space="preserve">levant work health and safety (WHS)/occupational health and safety (OHS) requirements, including the use of risk control measures </w:t>
            </w:r>
          </w:p>
          <w:p w:rsidR="00000000" w:rsidRPr="009C22A4" w:rsidP="009C22A4">
            <w:pPr>
              <w:pStyle w:val="ListBullet"/>
            </w:pPr>
            <w:r w:rsidRPr="009C22A4">
              <w:t>applying sustainable energy principles and practices</w:t>
            </w:r>
          </w:p>
          <w:p w:rsidR="00000000" w:rsidRPr="009C22A4" w:rsidP="009C22A4">
            <w:pPr>
              <w:pStyle w:val="ListBullet"/>
            </w:pPr>
            <w:r w:rsidRPr="009C22A4">
              <w:t>performing substation inspections on at least one (1) of the following:</w:t>
            </w:r>
          </w:p>
          <w:p w:rsidR="00000000" w:rsidRPr="009C22A4" w:rsidP="009C22A4">
            <w:pPr>
              <w:pStyle w:val="ListBullet2"/>
            </w:pPr>
            <w:r w:rsidRPr="009C22A4">
              <w:t>transmission substation</w:t>
            </w:r>
          </w:p>
          <w:p w:rsidR="00000000" w:rsidRPr="009C22A4" w:rsidP="009C22A4">
            <w:pPr>
              <w:pStyle w:val="ListBullet2"/>
            </w:pPr>
            <w:r w:rsidRPr="009C22A4">
              <w:t>distribution substation</w:t>
            </w:r>
          </w:p>
          <w:p w:rsidR="00000000" w:rsidRPr="009C22A4" w:rsidP="009C22A4">
            <w:pPr>
              <w:pStyle w:val="ListBullet2"/>
            </w:pPr>
            <w:r w:rsidRPr="009C22A4">
              <w:t>traction substation</w:t>
            </w:r>
          </w:p>
          <w:p w:rsidR="00000000" w:rsidRPr="009C22A4" w:rsidP="009C22A4">
            <w:pPr>
              <w:pStyle w:val="ListBullet2"/>
            </w:pPr>
            <w:r w:rsidRPr="009C22A4">
              <w:t>zone substation</w:t>
            </w:r>
          </w:p>
          <w:p w:rsidR="00000000" w:rsidRPr="009C22A4" w:rsidP="009C22A4">
            <w:pPr>
              <w:pStyle w:val="ListBullet2"/>
            </w:pPr>
            <w:r w:rsidRPr="009C22A4">
              <w:t>terminal switching stations</w:t>
            </w:r>
          </w:p>
          <w:p w:rsidR="00000000" w:rsidRPr="009C22A4" w:rsidP="009C22A4">
            <w:pPr>
              <w:pStyle w:val="ListBullet"/>
            </w:pPr>
            <w:r w:rsidRPr="009C22A4">
              <w:t>performing substation inspections on all of the following:</w:t>
            </w:r>
          </w:p>
          <w:p w:rsidR="00000000" w:rsidRPr="009C22A4" w:rsidP="009C22A4">
            <w:pPr>
              <w:pStyle w:val="ListBullet2"/>
            </w:pPr>
            <w:r w:rsidRPr="009C22A4">
              <w:t>substation plant and equipment</w:t>
            </w:r>
          </w:p>
          <w:p w:rsidR="00000000" w:rsidRPr="009C22A4" w:rsidP="009C22A4">
            <w:pPr>
              <w:pStyle w:val="ListBullet2"/>
            </w:pPr>
            <w:r w:rsidRPr="009C22A4">
              <w:t>substation environmental systems</w:t>
            </w:r>
          </w:p>
          <w:p w:rsidR="00000000" w:rsidRPr="009C22A4" w:rsidP="009C22A4">
            <w:pPr>
              <w:pStyle w:val="ListBullet2"/>
            </w:pPr>
            <w:r w:rsidRPr="009C22A4">
              <w:t>substation securit</w:t>
            </w:r>
            <w:r w:rsidRPr="009C22A4">
              <w:t>y systems</w:t>
            </w:r>
          </w:p>
          <w:p w:rsidR="00000000" w:rsidRPr="009C22A4" w:rsidP="009C22A4">
            <w:pPr>
              <w:pStyle w:val="ListBullet"/>
            </w:pPr>
            <w:r w:rsidRPr="009C22A4">
              <w:t>performing substation inspection on at least ten (10) of the following:</w:t>
            </w:r>
          </w:p>
          <w:p w:rsidR="00000000" w:rsidRPr="009C22A4" w:rsidP="009C22A4">
            <w:pPr>
              <w:pStyle w:val="ListBullet2"/>
            </w:pPr>
            <w:r w:rsidRPr="009C22A4">
              <w:t>circuit breakers</w:t>
            </w:r>
          </w:p>
          <w:p w:rsidR="00000000" w:rsidRPr="009C22A4" w:rsidP="009C22A4">
            <w:pPr>
              <w:pStyle w:val="ListBullet2"/>
            </w:pPr>
            <w:r w:rsidRPr="009C22A4">
              <w:t>transformers</w:t>
            </w:r>
          </w:p>
          <w:p w:rsidR="00000000" w:rsidRPr="009C22A4" w:rsidP="009C22A4">
            <w:pPr>
              <w:pStyle w:val="ListBullet2"/>
            </w:pPr>
            <w:r w:rsidRPr="009C22A4">
              <w:t>control systems</w:t>
            </w:r>
          </w:p>
          <w:p w:rsidR="00000000" w:rsidRPr="009C22A4" w:rsidP="009C22A4">
            <w:pPr>
              <w:pStyle w:val="ListBullet2"/>
            </w:pPr>
            <w:r w:rsidRPr="009C22A4">
              <w:t>operating mechanism cabinets</w:t>
            </w:r>
          </w:p>
          <w:p w:rsidR="00000000" w:rsidRPr="009C22A4" w:rsidP="009C22A4">
            <w:pPr>
              <w:pStyle w:val="ListBullet2"/>
            </w:pPr>
            <w:r w:rsidRPr="009C22A4">
              <w:t>voltage transformers</w:t>
            </w:r>
          </w:p>
          <w:p w:rsidR="00000000" w:rsidRPr="009C22A4" w:rsidP="009C22A4">
            <w:pPr>
              <w:pStyle w:val="ListBullet2"/>
            </w:pPr>
            <w:r w:rsidRPr="009C22A4">
              <w:t>current transformers</w:t>
            </w:r>
          </w:p>
          <w:p w:rsidR="00000000" w:rsidRPr="009C22A4" w:rsidP="009C22A4">
            <w:pPr>
              <w:pStyle w:val="ListBullet2"/>
            </w:pPr>
            <w:r w:rsidRPr="009C22A4">
              <w:t>surge arrestors</w:t>
            </w:r>
          </w:p>
          <w:p w:rsidR="00000000" w:rsidRPr="009C22A4" w:rsidP="009C22A4">
            <w:pPr>
              <w:pStyle w:val="ListBullet2"/>
            </w:pPr>
            <w:r w:rsidRPr="009C22A4">
              <w:t>capacitor banks</w:t>
            </w:r>
          </w:p>
          <w:p w:rsidR="00000000" w:rsidRPr="009C22A4" w:rsidP="009C22A4">
            <w:pPr>
              <w:pStyle w:val="ListBullet2"/>
            </w:pPr>
            <w:r w:rsidRPr="009C22A4">
              <w:t>static VAR compensator (SVC)</w:t>
            </w:r>
          </w:p>
          <w:p w:rsidR="00000000" w:rsidRPr="009C22A4" w:rsidP="009C22A4">
            <w:pPr>
              <w:pStyle w:val="ListBullet2"/>
            </w:pPr>
            <w:r w:rsidRPr="009C22A4">
              <w:t>synchronous condenser</w:t>
            </w:r>
          </w:p>
          <w:p w:rsidR="00000000" w:rsidRPr="009C22A4" w:rsidP="009C22A4">
            <w:pPr>
              <w:pStyle w:val="ListBullet2"/>
            </w:pPr>
            <w:r w:rsidRPr="009C22A4">
              <w:t>harmonic filters</w:t>
            </w:r>
          </w:p>
          <w:p w:rsidR="00000000" w:rsidRPr="009C22A4" w:rsidP="009C22A4">
            <w:pPr>
              <w:pStyle w:val="ListBullet2"/>
            </w:pPr>
            <w:r w:rsidRPr="009C22A4">
              <w:t>rectifier transformers</w:t>
            </w:r>
          </w:p>
          <w:p w:rsidR="00000000" w:rsidRPr="009C22A4" w:rsidP="009C22A4">
            <w:pPr>
              <w:pStyle w:val="ListBullet2"/>
            </w:pPr>
            <w:r w:rsidRPr="009C22A4">
              <w:t>rectifiers</w:t>
            </w:r>
          </w:p>
          <w:p w:rsidR="00000000" w:rsidRPr="009C22A4" w:rsidP="009C22A4">
            <w:pPr>
              <w:pStyle w:val="ListBullet2"/>
            </w:pPr>
            <w:r w:rsidRPr="009C22A4">
              <w:t>invertors</w:t>
            </w:r>
          </w:p>
          <w:p w:rsidR="00000000" w:rsidRPr="009C22A4" w:rsidP="009C22A4">
            <w:pPr>
              <w:pStyle w:val="ListBullet2"/>
            </w:pPr>
            <w:r w:rsidRPr="009C22A4">
              <w:t>negative reactors</w:t>
            </w:r>
          </w:p>
          <w:p w:rsidR="00000000" w:rsidRPr="009C22A4" w:rsidP="009C22A4">
            <w:pPr>
              <w:pStyle w:val="ListBullet2"/>
            </w:pPr>
            <w:r w:rsidRPr="009C22A4">
              <w:t>energy dissipation resistors</w:t>
            </w:r>
          </w:p>
          <w:p w:rsidR="00000000" w:rsidRPr="009C22A4" w:rsidP="009C22A4">
            <w:pPr>
              <w:pStyle w:val="ListBullet2"/>
            </w:pPr>
            <w:r w:rsidRPr="009C22A4">
              <w:t>disconnectors/isolators</w:t>
            </w:r>
          </w:p>
          <w:p w:rsidR="00000000" w:rsidRPr="009C22A4" w:rsidP="009C22A4">
            <w:pPr>
              <w:pStyle w:val="ListBullet2"/>
            </w:pPr>
            <w:r w:rsidRPr="009C22A4">
              <w:t>earth switches</w:t>
            </w:r>
          </w:p>
          <w:p w:rsidR="00000000" w:rsidRPr="009C22A4" w:rsidP="009C22A4">
            <w:pPr>
              <w:pStyle w:val="ListBullet2"/>
            </w:pPr>
            <w:r w:rsidRPr="009C22A4">
              <w:t>fault throwing switches</w:t>
            </w:r>
          </w:p>
          <w:p w:rsidR="00000000" w:rsidRPr="009C22A4" w:rsidP="009C22A4">
            <w:pPr>
              <w:pStyle w:val="ListBullet2"/>
            </w:pPr>
            <w:r w:rsidRPr="009C22A4">
              <w:t>sectionalisers</w:t>
            </w:r>
          </w:p>
          <w:p w:rsidR="00000000" w:rsidRPr="009C22A4" w:rsidP="009C22A4">
            <w:pPr>
              <w:pStyle w:val="ListBullet2"/>
            </w:pPr>
            <w:r w:rsidRPr="009C22A4">
              <w:t>a.c. and d.c. suppl</w:t>
            </w:r>
            <w:r w:rsidRPr="009C22A4">
              <w:t>y systems</w:t>
            </w:r>
          </w:p>
          <w:p w:rsidR="00000000" w:rsidRPr="009C22A4" w:rsidP="009C22A4">
            <w:pPr>
              <w:pStyle w:val="ListBullet2"/>
            </w:pPr>
            <w:r w:rsidRPr="009C22A4">
              <w:t>control room environments</w:t>
            </w:r>
          </w:p>
          <w:p w:rsidR="00000000" w:rsidRPr="009C22A4" w:rsidP="009C22A4">
            <w:pPr>
              <w:pStyle w:val="ListBullet2"/>
            </w:pPr>
            <w:r w:rsidRPr="009C22A4">
              <w:t>batteries</w:t>
            </w:r>
          </w:p>
          <w:p w:rsidR="00000000" w:rsidRPr="009C22A4" w:rsidP="009C22A4">
            <w:pPr>
              <w:pStyle w:val="ListBullet2"/>
            </w:pPr>
            <w:r w:rsidRPr="009C22A4">
              <w:t>chargers</w:t>
            </w:r>
          </w:p>
          <w:p w:rsidR="00000000" w:rsidRPr="009C22A4" w:rsidP="009C22A4">
            <w:pPr>
              <w:pStyle w:val="ListBullet2"/>
            </w:pPr>
            <w:r w:rsidRPr="009C22A4">
              <w:t>proving de-energised equipment</w:t>
            </w:r>
          </w:p>
          <w:p w:rsidR="00000000" w:rsidRPr="009C22A4" w:rsidP="009C22A4">
            <w:pPr>
              <w:pStyle w:val="ListBullet2"/>
            </w:pPr>
            <w:r w:rsidRPr="009C22A4">
              <w:t>fire systems equipment</w:t>
            </w:r>
          </w:p>
          <w:p w:rsidR="00000000" w:rsidRPr="009C22A4" w:rsidP="009C22A4">
            <w:pPr>
              <w:pStyle w:val="ListBullet2"/>
            </w:pPr>
            <w:r w:rsidRPr="009C22A4">
              <w:t>oil spill equipment</w:t>
            </w:r>
          </w:p>
          <w:p w:rsidR="00000000" w:rsidRPr="009C22A4" w:rsidP="009C22A4">
            <w:pPr>
              <w:pStyle w:val="ListBullet"/>
            </w:pPr>
            <w:r w:rsidRPr="009C22A4">
              <w:t>dealing with unplanned events on at least one (1) occasion.</w:t>
            </w:r>
          </w:p>
        </w:tc>
      </w:tr>
    </w:tbl>
    <w:p w:rsidR="00000000" w:rsidRPr="009C22A4" w:rsidP="009C22A4">
      <w:pPr>
        <w:pStyle w:val="NoPaddingFontSize1"/>
      </w:pPr>
    </w:p>
    <w:p w:rsidR="00000000" w:rsidRPr="009C22A4" w:rsidP="009C22A4">
      <w:pPr>
        <w:pStyle w:val="AllowPageBreak"/>
      </w:pPr>
    </w:p>
    <w:p w:rsidR="00000000" w:rsidRPr="009C22A4" w:rsidP="009C22A4">
      <w:pPr>
        <w:pStyle w:val="Heading1"/>
      </w:pPr>
      <w:bookmarkStart w:id="13" w:name="O_1004466"/>
      <w:bookmarkEnd w:id="13"/>
      <w:r w:rsidRPr="009C22A4">
        <w:t>Knowledge Evidence</w:t>
      </w:r>
    </w:p>
    <w:tbl>
      <w:tblPr>
        <w:tblW w:w="9497" w:type="dxa"/>
        <w:tblLayout w:type="fixed"/>
        <w:tblCellMar>
          <w:left w:w="62" w:type="dxa"/>
          <w:right w:w="62" w:type="dxa"/>
        </w:tblCellMar>
        <w:tblLook w:val="0000"/>
      </w:tblPr>
      <w:tblGrid>
        <w:gridCol w:w="9497"/>
      </w:tblGrid>
      <w:tr w:rsidTr="009C22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22A4">
            <w:pPr>
              <w:pStyle w:val="BodyText"/>
              <w:rPr>
                <w:lang w:val="en-NZ"/>
              </w:rPr>
            </w:pPr>
            <w:r w:rsidRPr="009C22A4">
              <w:t>Evidence required to demonstrate competence in this unit must be relevant to and satisfy all of the requirements of the elements and performance criteria and include knowledge of:</w:t>
            </w:r>
          </w:p>
        </w:tc>
      </w:tr>
      <w:tr w:rsidTr="009C22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2A4" w:rsidP="009C22A4">
            <w:pPr>
              <w:pStyle w:val="ListBullet"/>
            </w:pPr>
            <w:r w:rsidRPr="009C22A4">
              <w:t>enterprise-specific policies and procedure instructions, including:</w:t>
            </w:r>
          </w:p>
          <w:p w:rsidR="00000000" w:rsidRPr="009C22A4" w:rsidP="009C22A4">
            <w:pPr>
              <w:pStyle w:val="ListBullet2"/>
            </w:pPr>
            <w:r w:rsidRPr="009C22A4">
              <w:t>respo</w:t>
            </w:r>
            <w:r w:rsidRPr="009C22A4">
              <w:t>nsibilities and duty of care of employer and employee relationship</w:t>
            </w:r>
          </w:p>
          <w:p w:rsidR="00000000" w:rsidRPr="009C22A4" w:rsidP="009C22A4">
            <w:pPr>
              <w:pStyle w:val="ListBullet2"/>
            </w:pPr>
            <w:r w:rsidRPr="009C22A4">
              <w:t>methods of obtaining the up-to-date information on enterprise policies and procedures</w:t>
            </w:r>
          </w:p>
          <w:p w:rsidR="00000000" w:rsidRPr="009C22A4" w:rsidP="009C22A4">
            <w:pPr>
              <w:pStyle w:val="ListBullet2"/>
            </w:pPr>
            <w:r w:rsidRPr="009C22A4">
              <w:t>rules and regulations</w:t>
            </w:r>
          </w:p>
          <w:p w:rsidR="00000000" w:rsidRPr="009C22A4" w:rsidP="009C22A4">
            <w:pPr>
              <w:pStyle w:val="ListBullet2"/>
            </w:pPr>
            <w:r w:rsidRPr="009C22A4">
              <w:t xml:space="preserve">induction into workplace - location of work </w:t>
            </w:r>
            <w:r w:rsidRPr="009C22A4">
              <w:t>area and storage area, timetable, uniform, personal wellbeing, housekeeping rules, emergency procedures and evacuation procedures</w:t>
            </w:r>
          </w:p>
          <w:p w:rsidR="00000000" w:rsidRPr="009C22A4" w:rsidP="009C22A4">
            <w:pPr>
              <w:pStyle w:val="ListBullet2"/>
            </w:pPr>
            <w:r w:rsidRPr="009C22A4">
              <w:t>techniques when dealing with others - working in teams, customer relation, and complaint and issues procedures</w:t>
            </w:r>
          </w:p>
          <w:p w:rsidR="00000000" w:rsidRPr="009C22A4" w:rsidP="009C22A4">
            <w:pPr>
              <w:pStyle w:val="ListBullet2"/>
            </w:pPr>
            <w:r w:rsidRPr="009C22A4">
              <w:t>overview of ent</w:t>
            </w:r>
            <w:r w:rsidRPr="009C22A4">
              <w:t>erprise professional development - fire-fighting procedures, fatigue management, and training and competency development - understanding and promotion</w:t>
            </w:r>
          </w:p>
          <w:p w:rsidR="00000000" w:rsidRPr="009C22A4" w:rsidP="009C22A4">
            <w:pPr>
              <w:pStyle w:val="ListBullet"/>
            </w:pPr>
            <w:r w:rsidRPr="009C22A4">
              <w:t>enterprise-specific WHS/OHS instructions, including:</w:t>
            </w:r>
          </w:p>
          <w:p w:rsidR="00000000" w:rsidRPr="009C22A4" w:rsidP="009C22A4">
            <w:pPr>
              <w:pStyle w:val="ListBullet2"/>
            </w:pPr>
            <w:r w:rsidRPr="009C22A4">
              <w:t>standards, codes, legislation, supply authority re</w:t>
            </w:r>
            <w:r w:rsidRPr="009C22A4">
              <w:t>gulations and specific enterprise regulations pertaining to WHS/OHS policies and procedures</w:t>
            </w:r>
          </w:p>
          <w:p w:rsidR="00000000" w:rsidRPr="009C22A4" w:rsidP="009C22A4">
            <w:pPr>
              <w:pStyle w:val="ListBullet2"/>
            </w:pPr>
            <w:r w:rsidRPr="009C22A4">
              <w:t>methods of obtaining the up-to-date information on enterprise WHS/OHS policies and procedures</w:t>
            </w:r>
          </w:p>
          <w:p w:rsidR="00000000" w:rsidRPr="009C22A4" w:rsidP="009C22A4">
            <w:pPr>
              <w:pStyle w:val="ListBullet2"/>
            </w:pPr>
            <w:r w:rsidRPr="009C22A4">
              <w:t>specific enterprise personal protection equipment (PPE) - type and app</w:t>
            </w:r>
            <w:r w:rsidRPr="009C22A4">
              <w:t>lication; where and when to be used; method of replacement; responsibility of maintenance, including cleaning, inspection and testing; and emergency response, rescue, evacuation and first aid procedures</w:t>
            </w:r>
          </w:p>
          <w:p w:rsidR="00000000" w:rsidRPr="009C22A4" w:rsidP="009C22A4">
            <w:pPr>
              <w:pStyle w:val="ListBullet2"/>
            </w:pPr>
            <w:r w:rsidRPr="009C22A4">
              <w:t>personal wellbeing – hygiene, fatigue/stress manageme</w:t>
            </w:r>
            <w:r w:rsidRPr="009C22A4">
              <w:t>nt and drugs/alcohol</w:t>
            </w:r>
          </w:p>
          <w:p w:rsidR="00000000" w:rsidRPr="009C22A4" w:rsidP="009C22A4">
            <w:pPr>
              <w:pStyle w:val="ListBullet2"/>
            </w:pPr>
            <w:r w:rsidRPr="009C22A4">
              <w:t>WHS/OHS training - induction training, specific hazard training, specific task or equipment training, emergency and evacuation training, and training as part of broader programs such as equipment operation</w:t>
            </w:r>
          </w:p>
          <w:p w:rsidR="00000000" w:rsidRPr="009C22A4" w:rsidP="009C22A4">
            <w:pPr>
              <w:pStyle w:val="ListBullet2"/>
            </w:pPr>
            <w:r w:rsidRPr="009C22A4">
              <w:t>WHS/OHS records - audits; ins</w:t>
            </w:r>
            <w:r w:rsidRPr="009C22A4">
              <w:t>pection reports; workplace health and environmental monitoring records; training and instruction records; manufacturer and supplier information, such as material safety data sheets (MSDS); registers; maintenance reports; workers compensation and rehabilita</w:t>
            </w:r>
            <w:r w:rsidRPr="009C22A4">
              <w:t>tion records; and first aid/medical records</w:t>
            </w:r>
          </w:p>
          <w:p w:rsidR="00000000" w:rsidRPr="009C22A4" w:rsidP="009C22A4">
            <w:pPr>
              <w:pStyle w:val="ListBullet"/>
            </w:pPr>
            <w:r w:rsidRPr="009C22A4">
              <w:t>enterprise-specific data management processes, including:</w:t>
            </w:r>
          </w:p>
          <w:p w:rsidR="00000000" w:rsidRPr="009C22A4" w:rsidP="009C22A4">
            <w:pPr>
              <w:pStyle w:val="ListBullet2"/>
            </w:pPr>
            <w:r w:rsidRPr="009C22A4">
              <w:t>standards, codes, legislation, supply authority regulations and/or enterprise requirements applicable to data management</w:t>
            </w:r>
          </w:p>
          <w:p w:rsidR="00000000" w:rsidRPr="009C22A4" w:rsidP="009C22A4">
            <w:pPr>
              <w:pStyle w:val="ListBullet2"/>
            </w:pPr>
            <w:r w:rsidRPr="009C22A4">
              <w:t>requirements for the use of manuals, substation diagrams/plans and drawings</w:t>
            </w:r>
          </w:p>
          <w:p w:rsidR="00000000" w:rsidRPr="009C22A4" w:rsidP="009C22A4">
            <w:pPr>
              <w:pStyle w:val="ListBullet2"/>
            </w:pPr>
            <w:r w:rsidRPr="009C22A4">
              <w:t>types of enterprise-specific computer software</w:t>
            </w:r>
          </w:p>
          <w:p w:rsidR="00000000" w:rsidRPr="009C22A4" w:rsidP="009C22A4">
            <w:pPr>
              <w:pStyle w:val="ListBullet2"/>
            </w:pPr>
            <w:r w:rsidRPr="009C22A4">
              <w:t>techniques in storing and retrieving data and reports from the computer</w:t>
            </w:r>
          </w:p>
          <w:p w:rsidR="00000000" w:rsidRPr="009C22A4" w:rsidP="009C22A4">
            <w:pPr>
              <w:pStyle w:val="ListBullet2"/>
            </w:pPr>
            <w:r w:rsidRPr="009C22A4">
              <w:t xml:space="preserve">techniques in using the data management systems in following </w:t>
            </w:r>
            <w:r w:rsidRPr="009C22A4">
              <w:t>necessary commands and protocols in accordance with enterprise-specific procedures</w:t>
            </w:r>
          </w:p>
          <w:p w:rsidR="00000000" w:rsidRPr="009C22A4" w:rsidP="009C22A4">
            <w:pPr>
              <w:pStyle w:val="ListBullet2"/>
            </w:pPr>
            <w:r w:rsidRPr="009C22A4">
              <w:t>calculation of results and data measurements using the computer</w:t>
            </w:r>
          </w:p>
          <w:p w:rsidR="00000000" w:rsidRPr="009C22A4" w:rsidP="009C22A4">
            <w:pPr>
              <w:pStyle w:val="ListBullet2"/>
            </w:pPr>
            <w:r w:rsidRPr="009C22A4">
              <w:t>techniques in the preparation of preliminary works creation and closure</w:t>
            </w:r>
          </w:p>
          <w:p w:rsidR="00000000" w:rsidRPr="009C22A4" w:rsidP="009C22A4">
            <w:pPr>
              <w:pStyle w:val="ListBullet"/>
            </w:pPr>
            <w:r w:rsidRPr="009C22A4">
              <w:t>fault conditions and symptoms relate</w:t>
            </w:r>
            <w:r w:rsidRPr="009C22A4">
              <w:t>d to the plant and/or equipment type, including:</w:t>
            </w:r>
          </w:p>
          <w:p w:rsidR="00000000" w:rsidRPr="009C22A4" w:rsidP="009C22A4">
            <w:pPr>
              <w:pStyle w:val="ListBullet2"/>
            </w:pPr>
            <w:r w:rsidRPr="009C22A4">
              <w:t>standards, codes, Commonwealth/state/territory/local government legislation, supply authority regulations and/or enterprise requirements pertaining to typical fault conditions and systems</w:t>
            </w:r>
          </w:p>
          <w:p w:rsidR="00000000" w:rsidRPr="009C22A4" w:rsidP="009C22A4">
            <w:pPr>
              <w:pStyle w:val="ListBullet2"/>
            </w:pPr>
            <w:r w:rsidRPr="009C22A4">
              <w:t xml:space="preserve">interpretation of </w:t>
            </w:r>
            <w:r w:rsidRPr="009C22A4">
              <w:t xml:space="preserve">faults in operating mechanisms, such as drive trains and mechanical power drives; stored energy systems, including hydraulic systems, pneumatic systems and mechanical </w:t>
            </w:r>
            <w:r w:rsidRPr="009C22A4">
              <w:t>storage systems; and accumulators</w:t>
            </w:r>
          </w:p>
          <w:p w:rsidR="00000000" w:rsidRPr="009C22A4" w:rsidP="009C22A4">
            <w:pPr>
              <w:pStyle w:val="ListBullet2"/>
            </w:pPr>
            <w:r w:rsidRPr="009C22A4">
              <w:t>interpretation of faults in electrical control systems,</w:t>
            </w:r>
            <w:r w:rsidRPr="009C22A4">
              <w:t xml:space="preserve"> such as electromechanical relay systems, micro-processor-based systems, programmable logic controller (PLC) systems, integrated control systems or combinations of electrical/mechanical systems</w:t>
            </w:r>
          </w:p>
          <w:p w:rsidR="00000000" w:rsidRPr="009C22A4" w:rsidP="009C22A4">
            <w:pPr>
              <w:pStyle w:val="ListBullet2"/>
            </w:pPr>
            <w:r w:rsidRPr="009C22A4">
              <w:t xml:space="preserve">types of electrical systems, including a.c., </w:t>
            </w:r>
            <w:r w:rsidRPr="009C22A4">
              <w:t>d.c. and combinations of both</w:t>
            </w:r>
          </w:p>
          <w:p w:rsidR="00000000" w:rsidRPr="009C22A4" w:rsidP="009C22A4">
            <w:pPr>
              <w:pStyle w:val="ListBullet2"/>
            </w:pPr>
            <w:r w:rsidRPr="009C22A4">
              <w:t>types of fault conditions - failure to operate, failure in service, including the appropriate procedures for work on in service plant/equipment</w:t>
            </w:r>
          </w:p>
          <w:p w:rsidR="00000000" w:rsidRPr="009C22A4" w:rsidP="009C22A4">
            <w:pPr>
              <w:pStyle w:val="ListBullet2"/>
            </w:pPr>
            <w:r w:rsidRPr="009C22A4">
              <w:t>types of symptoms - alarms, relay flags, mechanical defects, insulation deteriorat</w:t>
            </w:r>
            <w:r w:rsidRPr="009C22A4">
              <w:t>ion, leaks, overpressure, under pressure, and out of tolerance measurements and checks</w:t>
            </w:r>
          </w:p>
          <w:p w:rsidR="00000000" w:rsidRPr="009C22A4" w:rsidP="009C22A4">
            <w:pPr>
              <w:pStyle w:val="ListBullet"/>
            </w:pPr>
            <w:r w:rsidRPr="009C22A4">
              <w:t>substation equipment components and materials related to the plant and/or equipment type, including:</w:t>
            </w:r>
          </w:p>
          <w:p w:rsidR="00000000" w:rsidRPr="009C22A4" w:rsidP="009C22A4">
            <w:pPr>
              <w:pStyle w:val="ListBullet2"/>
            </w:pPr>
            <w:r w:rsidRPr="009C22A4">
              <w:t>types of components - complete unit of plant and/or equipment; rep</w:t>
            </w:r>
            <w:r w:rsidRPr="009C22A4">
              <w:t>lacement components or appropriate substitutes; their dimensions, suitability and serviceability; also, the components associated with the local control systems of the equipment, including indication of levels, quantities, volumes, pressures and temperatur</w:t>
            </w:r>
            <w:r w:rsidRPr="009C22A4">
              <w:t>es; and the operating principles of these devices and components</w:t>
            </w:r>
          </w:p>
          <w:p w:rsidR="00000000" w:rsidRPr="009C22A4" w:rsidP="009C22A4">
            <w:pPr>
              <w:pStyle w:val="ListBullet2"/>
            </w:pPr>
            <w:r w:rsidRPr="009C22A4">
              <w:t>types of materials - insulation, construction, fabrication or lubrication of the plant/equipment</w:t>
            </w:r>
          </w:p>
          <w:p w:rsidR="00000000" w:rsidRPr="009C22A4" w:rsidP="009C22A4">
            <w:pPr>
              <w:pStyle w:val="ListBullet2"/>
            </w:pPr>
            <w:r w:rsidRPr="009C22A4">
              <w:t>techniques in enterprise procedures and regulatory/legislative requirements for the handling/u</w:t>
            </w:r>
            <w:r w:rsidRPr="009C22A4">
              <w:t>se and storage of equipment components and materials which may present WHS/OHS hazards to persons in the workplace</w:t>
            </w:r>
          </w:p>
          <w:p w:rsidR="00000000" w:rsidRPr="009C22A4" w:rsidP="009C22A4">
            <w:pPr>
              <w:pStyle w:val="ListBullet"/>
            </w:pPr>
            <w:r w:rsidRPr="009C22A4">
              <w:t>substation safety practices, including:</w:t>
            </w:r>
          </w:p>
          <w:p w:rsidR="00000000" w:rsidRPr="009C22A4" w:rsidP="009C22A4">
            <w:pPr>
              <w:pStyle w:val="ListBullet2"/>
            </w:pPr>
            <w:r w:rsidRPr="009C22A4">
              <w:t>standards, codes, Commonwealth/state/territory/local government legislation, supply authority regul</w:t>
            </w:r>
            <w:r w:rsidRPr="009C22A4">
              <w:t>ations and/or enterprise requirements pertaining to substation safety practices</w:t>
            </w:r>
          </w:p>
          <w:p w:rsidR="00000000" w:rsidRPr="009C22A4" w:rsidP="009C22A4">
            <w:pPr>
              <w:pStyle w:val="ListBullet2"/>
            </w:pPr>
            <w:r w:rsidRPr="009C22A4">
              <w:t>techniques in the use of protective apparatus and apparel for substations work, including responsibilities with regard to the use and maintenance of protective apparatus and ap</w:t>
            </w:r>
            <w:r w:rsidRPr="009C22A4">
              <w:t>parel and the types of protective apparatus and apparel used for work in substations</w:t>
            </w:r>
          </w:p>
          <w:p w:rsidR="00000000" w:rsidRPr="009C22A4" w:rsidP="009C22A4">
            <w:pPr>
              <w:pStyle w:val="ListBullet2"/>
            </w:pPr>
            <w:r w:rsidRPr="009C22A4">
              <w:t>requirements for the use of ladders and appropriate ladder types for work in substations - safe work methods when carrying, erecting, collapsing and lowering different typ</w:t>
            </w:r>
            <w:r w:rsidRPr="009C22A4">
              <w:t>es of extension ladder against substation structures, plant and equipment; maintenance checks on different types of ladders; renewal of extension ropes and the safety issues relating to clearances from energised conductors</w:t>
            </w:r>
          </w:p>
          <w:p w:rsidR="00000000" w:rsidRPr="009C22A4" w:rsidP="009C22A4">
            <w:pPr>
              <w:pStyle w:val="ListBullet2"/>
            </w:pPr>
            <w:r w:rsidRPr="009C22A4">
              <w:t>requirements for climbing and wor</w:t>
            </w:r>
            <w:r w:rsidRPr="009C22A4">
              <w:t>king at heights in substations - attached climbing principles; selection, use and operation of elevated work platforms (EWP) and any WHS/OHS requirements associated with the use of EWP</w:t>
            </w:r>
          </w:p>
          <w:p w:rsidR="00000000" w:rsidRPr="009C22A4" w:rsidP="009C22A4">
            <w:pPr>
              <w:pStyle w:val="ListBullet2"/>
            </w:pPr>
            <w:r w:rsidRPr="009C22A4">
              <w:t>control of small fires - identification, selection and operation of the appropriate extinguishing mediums for various types of fires and the precautions for personal protection when fighting small fires</w:t>
            </w:r>
          </w:p>
          <w:p w:rsidR="00000000" w:rsidRPr="009C22A4" w:rsidP="009C22A4">
            <w:pPr>
              <w:pStyle w:val="ListBullet2"/>
            </w:pPr>
            <w:r w:rsidRPr="009C22A4">
              <w:t>control of oil spills - identification, use and maint</w:t>
            </w:r>
            <w:r w:rsidRPr="009C22A4">
              <w:t>enance of spill oil control equipment and materials, oil containment facilities and systems</w:t>
            </w:r>
          </w:p>
          <w:p w:rsidR="00000000" w:rsidRPr="009C22A4" w:rsidP="009C22A4">
            <w:pPr>
              <w:pStyle w:val="ListBullet2"/>
            </w:pPr>
            <w:r w:rsidRPr="009C22A4">
              <w:t>rescue and release procedures - rescue procedures of personnel from energised conductors, emergency descent from an EWP and/or confined spaces</w:t>
            </w:r>
          </w:p>
          <w:p w:rsidR="00000000" w:rsidRPr="009C22A4" w:rsidP="009C22A4">
            <w:pPr>
              <w:pStyle w:val="ListBullet2"/>
            </w:pPr>
            <w:r w:rsidRPr="009C22A4">
              <w:t>enterprise requiremen</w:t>
            </w:r>
            <w:r w:rsidRPr="009C22A4">
              <w:t>ts - safe access and authorisation to work procedures, use of mobile extendable equipment on or near energised HV conductors and emergency response procedures</w:t>
            </w:r>
          </w:p>
          <w:p w:rsidR="00000000" w:rsidRPr="009C22A4" w:rsidP="009C22A4">
            <w:pPr>
              <w:pStyle w:val="ListBullet2"/>
            </w:pPr>
            <w:r w:rsidRPr="009C22A4">
              <w:t>hazards associated with work in substations, including earthing systems, transfer potentials, ste</w:t>
            </w:r>
            <w:r w:rsidRPr="009C22A4">
              <w:t>p and touch effects, electrostatic and electromagnetic induction, and dangers of near approach to energised conductors.</w:t>
            </w:r>
          </w:p>
        </w:tc>
      </w:tr>
    </w:tbl>
    <w:p w:rsidR="00000000" w:rsidRPr="009C22A4" w:rsidP="009C22A4">
      <w:pPr>
        <w:pStyle w:val="NoPaddingFontSize1"/>
      </w:pPr>
    </w:p>
    <w:p w:rsidR="00000000" w:rsidRPr="009C22A4" w:rsidP="009C22A4">
      <w:pPr>
        <w:pStyle w:val="AllowPageBreak"/>
      </w:pPr>
    </w:p>
    <w:p w:rsidR="00000000" w:rsidRPr="009C22A4" w:rsidP="009C22A4">
      <w:pPr>
        <w:pStyle w:val="Heading1"/>
      </w:pPr>
      <w:bookmarkStart w:id="14" w:name="O_1004467"/>
      <w:bookmarkEnd w:id="14"/>
      <w:r w:rsidRPr="009C22A4">
        <w:t>Assessment Conditions</w:t>
      </w:r>
    </w:p>
    <w:tbl>
      <w:tblPr>
        <w:tblW w:w="9497" w:type="dxa"/>
        <w:tblLayout w:type="fixed"/>
        <w:tblCellMar>
          <w:left w:w="62" w:type="dxa"/>
          <w:right w:w="62" w:type="dxa"/>
        </w:tblCellMar>
        <w:tblLook w:val="0000"/>
      </w:tblPr>
      <w:tblGrid>
        <w:gridCol w:w="9497"/>
      </w:tblGrid>
      <w:tr w:rsidTr="009C22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2A4" w:rsidP="009C22A4">
            <w:pPr>
              <w:pStyle w:val="BodyText"/>
            </w:pPr>
            <w:r w:rsidRPr="009C22A4">
              <w:t>Assessors must hold credentials specified within the Standards for Registered Training Organi</w:t>
            </w:r>
            <w:r w:rsidRPr="009C22A4">
              <w:t>sations current at the time of assessment.</w:t>
            </w:r>
          </w:p>
          <w:p w:rsidR="00000000" w:rsidRPr="009C22A4" w:rsidP="009C22A4">
            <w:pPr>
              <w:pStyle w:val="BodyText"/>
            </w:pPr>
            <w:r w:rsidRPr="009C22A4">
              <w:t>Assessment must satisfy the Principles of Assessment and Rules of Evidence and all regulatory requirements included within the Standards for Registered Training Organisations current at the time of assessment.</w:t>
            </w:r>
          </w:p>
          <w:p w:rsidR="00000000" w:rsidRPr="009C22A4" w:rsidP="009C22A4">
            <w:pPr>
              <w:pStyle w:val="BodyText"/>
            </w:pPr>
            <w:r w:rsidRPr="009C22A4">
              <w:t>Ass</w:t>
            </w:r>
            <w:r w:rsidRPr="009C22A4">
              <w:t xml:space="preserve">essment must occur in workplace operational situations where it is appropriate to do so; where this is not appropriate, assessment must occur in simulated conditions involving realistic and authentic activities </w:t>
            </w:r>
            <w:r w:rsidRPr="009C22A4">
              <w:t>that replicate operational workplace conditio</w:t>
            </w:r>
            <w:r w:rsidRPr="009C22A4">
              <w:t>ns.</w:t>
            </w:r>
          </w:p>
          <w:p w:rsidR="00000000" w:rsidRPr="009C22A4" w:rsidP="009C22A4">
            <w:pPr>
              <w:pStyle w:val="BodyText"/>
            </w:pPr>
            <w:r w:rsidRPr="009C22A4">
              <w:t>Assessment processes and techniques must be appropriate to the language, literacy and numeracy requirements of the work being performed and the needs of the candidate.</w:t>
            </w:r>
          </w:p>
          <w:p w:rsidR="00000000" w:rsidRPr="009C22A4" w:rsidP="009C22A4">
            <w:pPr>
              <w:pStyle w:val="BodyText"/>
            </w:pPr>
            <w:r w:rsidRPr="009C22A4">
              <w:t>Resources for assessment must include access to:</w:t>
            </w:r>
          </w:p>
          <w:p w:rsidR="00000000" w:rsidRPr="009C22A4" w:rsidP="009C22A4">
            <w:pPr>
              <w:pStyle w:val="ListBullet"/>
            </w:pPr>
            <w:r w:rsidRPr="009C22A4">
              <w:t>a range of relevant exercises, case studies and/or other simulations</w:t>
            </w:r>
          </w:p>
          <w:p w:rsidR="00000000" w:rsidRPr="009C22A4" w:rsidP="009C22A4">
            <w:pPr>
              <w:pStyle w:val="ListBullet"/>
            </w:pPr>
            <w:r w:rsidRPr="009C22A4">
              <w:t>relevant and appropriate materials, tools, equipment and PPE currently used in industry</w:t>
            </w:r>
          </w:p>
          <w:p w:rsidR="00000000" w:rsidRPr="009C22A4" w:rsidP="009C22A4">
            <w:pPr>
              <w:pStyle w:val="ListBullet"/>
            </w:pPr>
            <w:r w:rsidRPr="009C22A4">
              <w:t>applicable documentation, including workplace procedures, equipment specifications, regulations, co</w:t>
            </w:r>
            <w:r w:rsidRPr="009C22A4">
              <w:t>des of practice and operation manuals.</w:t>
            </w:r>
          </w:p>
        </w:tc>
      </w:tr>
    </w:tbl>
    <w:p w:rsidR="00000000" w:rsidRPr="009C22A4" w:rsidP="009C22A4">
      <w:pPr>
        <w:pStyle w:val="NoPaddingFontSize1"/>
      </w:pPr>
    </w:p>
    <w:p w:rsidR="00000000" w:rsidRPr="009C22A4" w:rsidP="009C22A4">
      <w:pPr>
        <w:pStyle w:val="AllowPageBreak"/>
      </w:pPr>
    </w:p>
    <w:p w:rsidR="00000000" w:rsidRPr="009C22A4" w:rsidP="009C22A4">
      <w:pPr>
        <w:pStyle w:val="Heading1"/>
      </w:pPr>
      <w:bookmarkStart w:id="15" w:name="O_1004470"/>
      <w:bookmarkEnd w:id="15"/>
      <w:r w:rsidRPr="009C22A4">
        <w:t>Links</w:t>
      </w:r>
    </w:p>
    <w:p w:rsidR="00000000" w:rsidRPr="009C22A4" w:rsidP="00B71FD1">
      <w:pPr>
        <w:pStyle w:val="BodyText"/>
      </w:pPr>
      <w:r w:rsidRPr="009C22A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70886">
        <w:rPr>
          <w:rStyle w:val="Hyperlink"/>
        </w:rPr>
        <w:t>https://vetnet.gov.au/Pages/TrainingDocs.aspx?q=229bace1-b7bc-4653-9300-dffb13ecfad7</w:t>
      </w:r>
      <w:r>
        <w:fldChar w:fldCharType="end"/>
      </w:r>
    </w:p>
    <w:p w:rsidR="00000000" w:rsidRPr="009C22A4" w:rsidP="009C22A4"/>
    <w:sectPr w:rsidSect="009C22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A4" w:rsidRPr="00B71FD1" w:rsidP="00B71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D1" w:rsidP="009C22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71FD1" w:rsidP="009C22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71FD1" w:rsidP="009C22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A4" w:rsidP="009C22A4">
    <w:pPr>
      <w:pStyle w:val="Footer"/>
      <w:framePr w:wrap="around"/>
    </w:pPr>
    <w:r>
      <w:fldChar w:fldCharType="begin"/>
    </w:r>
    <w:r>
      <w:instrText xml:space="preserve"> DOCPROPERTY  Subject  \* MERGEFORMAT </w:instrText>
    </w:r>
    <w:r>
      <w:fldChar w:fldCharType="separate"/>
    </w:r>
    <w:r w:rsidR="00B71FD1">
      <w:t>Approved</w:t>
    </w:r>
    <w:r w:rsidR="00B71FD1">
      <w:fldChar w:fldCharType="end"/>
    </w:r>
    <w:r>
      <w:tab/>
      <w:t xml:space="preserve">Page </w:t>
    </w:r>
    <w:r>
      <w:fldChar w:fldCharType="begin"/>
    </w:r>
    <w:r>
      <w:instrText xml:space="preserve"> PAGE  \* Arabic  \* MERGEFORMAT </w:instrText>
    </w:r>
    <w:r>
      <w:fldChar w:fldCharType="separate"/>
    </w:r>
    <w:r w:rsidR="00B71FD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1FD1">
      <w:rPr>
        <w:noProof/>
      </w:rPr>
      <w:t>7</w:t>
    </w:r>
    <w:r>
      <w:rPr>
        <w:noProof/>
      </w:rPr>
      <w:fldChar w:fldCharType="end"/>
    </w:r>
  </w:p>
  <w:p w:rsidR="009C22A4" w:rsidP="009C22A4">
    <w:pPr>
      <w:pStyle w:val="Footer"/>
      <w:framePr w:wrap="around"/>
    </w:pPr>
    <w:r>
      <w:t xml:space="preserve">© Commonwealth of Australia, </w:t>
    </w:r>
    <w:r>
      <w:fldChar w:fldCharType="begin"/>
    </w:r>
    <w:r>
      <w:instrText xml:space="preserve"> DATE  \@ "yyyy"  \* MERGEFORMAT </w:instrText>
    </w:r>
    <w:r>
      <w:fldChar w:fldCharType="separate"/>
    </w:r>
    <w:r w:rsidR="00B71FD1">
      <w:rPr>
        <w:noProof/>
      </w:rPr>
      <w:t>2025</w:t>
    </w:r>
    <w:r>
      <w:fldChar w:fldCharType="end"/>
    </w:r>
    <w:r>
      <w:tab/>
    </w:r>
    <w:r>
      <w:fldChar w:fldCharType="begin"/>
    </w:r>
    <w:r>
      <w:instrText xml:space="preserve"> DOCPROPERTY  Author  \* MERGEFORMAT </w:instrText>
    </w:r>
    <w:r>
      <w:fldChar w:fldCharType="separate"/>
    </w:r>
    <w:r w:rsidR="00B71FD1">
      <w:t>Powering Skills Organisation</w:t>
    </w:r>
    <w:r w:rsidR="00B71FD1">
      <w:fldChar w:fldCharType="end"/>
    </w:r>
  </w:p>
  <w:p w:rsidR="009C22A4" w:rsidP="009C22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2A4" w:rsidRPr="00B71FD1" w:rsidP="00B71F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D1" w:rsidRPr="002D2AF8" w:rsidP="009C22A4">
    <w:pPr>
      <w:pStyle w:val="Header"/>
      <w:framePr w:wrap="around"/>
    </w:pPr>
    <w:r>
      <w:fldChar w:fldCharType="begin"/>
    </w:r>
    <w:r>
      <w:instrText xml:space="preserve"> TITLE   \* MERGEFORMAT </w:instrText>
    </w:r>
    <w:r>
      <w:fldChar w:fldCharType="separate"/>
    </w:r>
    <w:r>
      <w:t>UETTDRSB22 Carry out power systems substation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1FD1" w:rsidP="009C22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2A4" w:rsidRPr="002D2AF8" w:rsidP="009C22A4">
    <w:pPr>
      <w:pStyle w:val="Header"/>
      <w:framePr w:wrap="around"/>
    </w:pPr>
    <w:r>
      <w:fldChar w:fldCharType="begin"/>
    </w:r>
    <w:r>
      <w:instrText xml:space="preserve"> TITLE   \* MERGEFORMAT </w:instrText>
    </w:r>
    <w:r>
      <w:fldChar w:fldCharType="separate"/>
    </w:r>
    <w:r w:rsidR="00B71FD1">
      <w:t>UETTDRSB22 Carry out power systems substation inspection</w:t>
    </w:r>
    <w:r w:rsidR="00B71FD1">
      <w:fldChar w:fldCharType="end"/>
    </w:r>
    <w:r>
      <w:tab/>
      <w:t xml:space="preserve">Date this document was generated: </w:t>
    </w:r>
    <w:r>
      <w:fldChar w:fldCharType="begin"/>
    </w:r>
    <w:r>
      <w:instrText xml:space="preserve"> CREATEDATE  \@ "d MMMM yyyy"  \* MERGEFORMAT </w:instrText>
    </w:r>
    <w:r>
      <w:fldChar w:fldCharType="separate"/>
    </w:r>
    <w:r w:rsidR="00B71FD1">
      <w:rPr>
        <w:noProof/>
      </w:rPr>
      <w:t>2 March 2025</w:t>
    </w:r>
    <w:r>
      <w:fldChar w:fldCharType="end"/>
    </w:r>
  </w:p>
  <w:p w:rsidR="009C22A4" w:rsidP="009C22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DAD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CE2D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E86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2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2A4"/>
    <w:pPr>
      <w:spacing w:before="360" w:after="60"/>
      <w:outlineLvl w:val="0"/>
    </w:pPr>
    <w:rPr>
      <w:sz w:val="32"/>
    </w:rPr>
  </w:style>
  <w:style w:type="paragraph" w:styleId="Heading2">
    <w:name w:val="heading 2"/>
    <w:basedOn w:val="HeadingBase"/>
    <w:next w:val="BodyText"/>
    <w:link w:val="Heading2Char"/>
    <w:qFormat/>
    <w:rsid w:val="009C22A4"/>
    <w:pPr>
      <w:keepLines/>
      <w:spacing w:before="240" w:after="120"/>
      <w:outlineLvl w:val="1"/>
    </w:pPr>
    <w:rPr>
      <w:sz w:val="28"/>
      <w:szCs w:val="40"/>
    </w:rPr>
  </w:style>
  <w:style w:type="paragraph" w:styleId="Heading3">
    <w:name w:val="heading 3"/>
    <w:basedOn w:val="HeadingBase"/>
    <w:next w:val="BodyText"/>
    <w:link w:val="Heading3Char"/>
    <w:qFormat/>
    <w:rsid w:val="009C22A4"/>
    <w:pPr>
      <w:spacing w:before="180" w:after="120"/>
      <w:outlineLvl w:val="2"/>
    </w:pPr>
    <w:rPr>
      <w:spacing w:val="-10"/>
      <w:kern w:val="32"/>
    </w:rPr>
  </w:style>
  <w:style w:type="paragraph" w:styleId="Heading4">
    <w:name w:val="heading 4"/>
    <w:basedOn w:val="HeadingBase"/>
    <w:next w:val="BodyText"/>
    <w:link w:val="Heading4Char"/>
    <w:qFormat/>
    <w:rsid w:val="009C22A4"/>
    <w:pPr>
      <w:spacing w:before="160" w:after="120"/>
      <w:outlineLvl w:val="3"/>
    </w:pPr>
    <w:rPr>
      <w:sz w:val="22"/>
    </w:rPr>
  </w:style>
  <w:style w:type="paragraph" w:styleId="Heading5">
    <w:name w:val="heading 5"/>
    <w:basedOn w:val="HeadingBase"/>
    <w:next w:val="Normal"/>
    <w:link w:val="Heading5Char"/>
    <w:qFormat/>
    <w:rsid w:val="009C22A4"/>
    <w:pPr>
      <w:spacing w:before="80"/>
      <w:outlineLvl w:val="4"/>
    </w:pPr>
    <w:rPr>
      <w:color w:val="918585"/>
      <w:sz w:val="20"/>
    </w:rPr>
  </w:style>
  <w:style w:type="paragraph" w:styleId="Heading6">
    <w:name w:val="heading 6"/>
    <w:basedOn w:val="HeadingBase"/>
    <w:next w:val="Normal"/>
    <w:link w:val="Heading6Char"/>
    <w:qFormat/>
    <w:rsid w:val="009C22A4"/>
    <w:pPr>
      <w:spacing w:before="60"/>
      <w:outlineLvl w:val="5"/>
    </w:pPr>
    <w:rPr>
      <w:color w:val="918585"/>
      <w:sz w:val="20"/>
    </w:rPr>
  </w:style>
  <w:style w:type="paragraph" w:styleId="Heading7">
    <w:name w:val="heading 7"/>
    <w:basedOn w:val="Normal"/>
    <w:next w:val="Normal"/>
    <w:link w:val="Heading7Char"/>
    <w:qFormat/>
    <w:rsid w:val="009C22A4"/>
    <w:pPr>
      <w:ind w:left="720"/>
      <w:outlineLvl w:val="6"/>
    </w:pPr>
    <w:rPr>
      <w:i/>
    </w:rPr>
  </w:style>
  <w:style w:type="paragraph" w:styleId="Heading8">
    <w:name w:val="heading 8"/>
    <w:basedOn w:val="Normal"/>
    <w:next w:val="Normal"/>
    <w:link w:val="Heading8Char"/>
    <w:qFormat/>
    <w:rsid w:val="009C22A4"/>
    <w:pPr>
      <w:ind w:left="720"/>
      <w:outlineLvl w:val="7"/>
    </w:pPr>
    <w:rPr>
      <w:i/>
    </w:rPr>
  </w:style>
  <w:style w:type="paragraph" w:styleId="Heading9">
    <w:name w:val="heading 9"/>
    <w:basedOn w:val="Normal"/>
    <w:next w:val="Normal"/>
    <w:link w:val="Heading9Char"/>
    <w:qFormat/>
    <w:rsid w:val="009C22A4"/>
    <w:pPr>
      <w:ind w:left="720"/>
      <w:outlineLvl w:val="8"/>
    </w:pPr>
    <w:rPr>
      <w:i/>
    </w:rPr>
  </w:style>
  <w:style w:type="character" w:default="1" w:styleId="DefaultParagraphFont">
    <w:name w:val="Default Paragraph Font"/>
    <w:uiPriority w:val="1"/>
    <w:unhideWhenUsed/>
    <w:rsid w:val="009C22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2A4"/>
  </w:style>
  <w:style w:type="character" w:customStyle="1" w:styleId="Heading1Char">
    <w:name w:val="Heading 1 Char"/>
    <w:basedOn w:val="DefaultParagraphFont"/>
    <w:link w:val="Heading1"/>
    <w:rsid w:val="009C22A4"/>
    <w:rPr>
      <w:rFonts w:ascii="Times New Roman" w:eastAsia="Times New Roman" w:hAnsi="Times New Roman" w:cs="Times New Roman"/>
      <w:b/>
      <w:sz w:val="32"/>
      <w:szCs w:val="20"/>
      <w:lang w:eastAsia="en-US"/>
    </w:rPr>
  </w:style>
  <w:style w:type="paragraph" w:styleId="BodyText">
    <w:name w:val="Body Text"/>
    <w:basedOn w:val="Normal"/>
    <w:link w:val="BodyTextChar"/>
    <w:rsid w:val="009C22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2A4"/>
    <w:rPr>
      <w:rFonts w:ascii="Times New Roman" w:eastAsia="Times New Roman" w:hAnsi="Times New Roman" w:cs="Times New Roman"/>
      <w:sz w:val="24"/>
      <w:lang w:eastAsia="en-US"/>
    </w:rPr>
  </w:style>
  <w:style w:type="paragraph" w:styleId="ListBullet">
    <w:name w:val="List Bullet"/>
    <w:basedOn w:val="List"/>
    <w:rsid w:val="009C22A4"/>
    <w:pPr>
      <w:numPr>
        <w:numId w:val="12"/>
      </w:numPr>
      <w:tabs>
        <w:tab w:val="clear" w:pos="340"/>
      </w:tabs>
      <w:spacing w:before="40" w:after="40"/>
    </w:pPr>
  </w:style>
  <w:style w:type="character" w:customStyle="1" w:styleId="SpecialBold">
    <w:name w:val="Special Bold"/>
    <w:basedOn w:val="DefaultParagraphFont"/>
    <w:rsid w:val="009C22A4"/>
    <w:rPr>
      <w:b/>
      <w:spacing w:val="0"/>
    </w:rPr>
  </w:style>
  <w:style w:type="paragraph" w:styleId="ListBullet2">
    <w:name w:val="List Bullet 2"/>
    <w:basedOn w:val="List2"/>
    <w:rsid w:val="009C22A4"/>
    <w:pPr>
      <w:numPr>
        <w:numId w:val="13"/>
      </w:numPr>
      <w:tabs>
        <w:tab w:val="clear" w:pos="680"/>
      </w:tabs>
    </w:pPr>
  </w:style>
  <w:style w:type="paragraph" w:customStyle="1" w:styleId="SuperHeading">
    <w:name w:val="SuperHeading"/>
    <w:basedOn w:val="Normal"/>
    <w:rsid w:val="009C22A4"/>
    <w:pPr>
      <w:spacing w:before="240" w:after="120"/>
      <w:outlineLvl w:val="0"/>
    </w:pPr>
    <w:rPr>
      <w:rFonts w:ascii="Times New Roman" w:hAnsi="Times New Roman"/>
      <w:b/>
      <w:sz w:val="32"/>
    </w:rPr>
  </w:style>
  <w:style w:type="paragraph" w:customStyle="1" w:styleId="AllowPageBreak">
    <w:name w:val="AllowPageBreak"/>
    <w:rsid w:val="009C22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22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2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2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2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2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2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2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2A4"/>
    <w:rPr>
      <w:rFonts w:ascii="Courier New" w:eastAsia="Times New Roman" w:hAnsi="Courier New" w:cs="Times New Roman"/>
      <w:i/>
      <w:szCs w:val="20"/>
      <w:lang w:eastAsia="en-US"/>
    </w:rPr>
  </w:style>
  <w:style w:type="paragraph" w:customStyle="1" w:styleId="HeadingBase">
    <w:name w:val="Heading Base"/>
    <w:rsid w:val="009C22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2A4"/>
    <w:pPr>
      <w:tabs>
        <w:tab w:val="right" w:leader="dot" w:pos="9072"/>
      </w:tabs>
      <w:ind w:left="567"/>
    </w:pPr>
    <w:rPr>
      <w:szCs w:val="22"/>
    </w:rPr>
  </w:style>
  <w:style w:type="paragraph" w:customStyle="1" w:styleId="TOCBase">
    <w:name w:val="TOC Base"/>
    <w:rsid w:val="009C22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2A4"/>
    <w:pPr>
      <w:tabs>
        <w:tab w:val="right" w:leader="dot" w:pos="9072"/>
      </w:tabs>
      <w:spacing w:before="40" w:after="40"/>
      <w:ind w:left="284"/>
    </w:pPr>
    <w:rPr>
      <w:rFonts w:ascii="Times New Roman" w:hAnsi="Times New Roman"/>
    </w:rPr>
  </w:style>
  <w:style w:type="paragraph" w:styleId="TOC1">
    <w:name w:val="toc 1"/>
    <w:basedOn w:val="TOCBase"/>
    <w:next w:val="Normal"/>
    <w:rsid w:val="009C22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2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2A4"/>
    <w:rPr>
      <w:rFonts w:ascii="Times New Roman" w:eastAsia="Times New Roman" w:hAnsi="Times New Roman" w:cs="Times New Roman"/>
      <w:sz w:val="16"/>
      <w:lang w:eastAsia="en-US"/>
    </w:rPr>
  </w:style>
  <w:style w:type="paragraph" w:styleId="Title">
    <w:name w:val="Title"/>
    <w:basedOn w:val="HeadingBase"/>
    <w:link w:val="TitleChar"/>
    <w:qFormat/>
    <w:rsid w:val="009C22A4"/>
    <w:pPr>
      <w:spacing w:before="5040"/>
      <w:jc w:val="center"/>
    </w:pPr>
    <w:rPr>
      <w:sz w:val="48"/>
      <w:szCs w:val="72"/>
      <w:lang w:val="en-US"/>
    </w:rPr>
  </w:style>
  <w:style w:type="character" w:customStyle="1" w:styleId="TitleChar">
    <w:name w:val="Title Char"/>
    <w:basedOn w:val="DefaultParagraphFont"/>
    <w:link w:val="Title"/>
    <w:rsid w:val="009C22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2A4"/>
    <w:pPr>
      <w:tabs>
        <w:tab w:val="left" w:pos="3600"/>
        <w:tab w:val="left" w:pos="3958"/>
      </w:tabs>
    </w:pPr>
  </w:style>
  <w:style w:type="paragraph" w:styleId="List">
    <w:name w:val="List"/>
    <w:basedOn w:val="BodyText"/>
    <w:next w:val="BodyText"/>
    <w:rsid w:val="009C22A4"/>
    <w:pPr>
      <w:tabs>
        <w:tab w:val="left" w:pos="340"/>
      </w:tabs>
      <w:spacing w:before="60" w:after="60"/>
      <w:ind w:left="340" w:hanging="340"/>
    </w:pPr>
  </w:style>
  <w:style w:type="paragraph" w:customStyle="1" w:styleId="Note">
    <w:name w:val="Note"/>
    <w:basedOn w:val="BodyText"/>
    <w:rsid w:val="009C22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2A4"/>
    <w:pPr>
      <w:framePr w:wrap="auto" w:hAnchor="text" w:y="6049"/>
    </w:pPr>
    <w:rPr>
      <w:color w:val="000000"/>
      <w:sz w:val="40"/>
    </w:rPr>
  </w:style>
  <w:style w:type="paragraph" w:customStyle="1" w:styleId="TOCTitle">
    <w:name w:val="TOCTitle"/>
    <w:basedOn w:val="Heading1"/>
    <w:rsid w:val="009C22A4"/>
    <w:pPr>
      <w:spacing w:after="240"/>
      <w:jc w:val="center"/>
      <w:outlineLvl w:val="9"/>
    </w:pPr>
    <w:rPr>
      <w:caps/>
    </w:rPr>
  </w:style>
  <w:style w:type="paragraph" w:customStyle="1" w:styleId="Version">
    <w:name w:val="Version"/>
    <w:rsid w:val="009C22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2A4"/>
    <w:pPr>
      <w:keepNext w:val="0"/>
      <w:tabs>
        <w:tab w:val="right" w:pos="4176"/>
      </w:tabs>
      <w:ind w:left="198" w:hanging="198"/>
    </w:pPr>
    <w:rPr>
      <w:rFonts w:ascii="Garamond" w:hAnsi="Garamond"/>
    </w:rPr>
  </w:style>
  <w:style w:type="paragraph" w:styleId="IndexHeading">
    <w:name w:val="index heading"/>
    <w:basedOn w:val="Normal"/>
    <w:next w:val="Index1"/>
    <w:semiHidden/>
    <w:rsid w:val="009C22A4"/>
    <w:pPr>
      <w:spacing w:before="120" w:after="120"/>
    </w:pPr>
    <w:rPr>
      <w:rFonts w:ascii="Arial" w:hAnsi="Arial"/>
      <w:b/>
      <w:color w:val="918585"/>
      <w:sz w:val="24"/>
    </w:rPr>
  </w:style>
  <w:style w:type="paragraph" w:styleId="Header">
    <w:name w:val="header"/>
    <w:basedOn w:val="Normal"/>
    <w:link w:val="HeaderChar"/>
    <w:rsid w:val="009C22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2A4"/>
    <w:rPr>
      <w:rFonts w:ascii="Times New Roman" w:eastAsia="Times New Roman" w:hAnsi="Times New Roman" w:cs="Times New Roman"/>
      <w:sz w:val="16"/>
      <w:szCs w:val="20"/>
      <w:lang w:val="en-GB" w:eastAsia="en-US"/>
    </w:rPr>
  </w:style>
  <w:style w:type="paragraph" w:customStyle="1" w:styleId="Chapter">
    <w:name w:val="Chapter"/>
    <w:basedOn w:val="Normal"/>
    <w:rsid w:val="009C22A4"/>
    <w:pPr>
      <w:spacing w:before="240"/>
    </w:pPr>
    <w:rPr>
      <w:rFonts w:ascii="Times New Roman" w:hAnsi="Times New Roman"/>
      <w:smallCaps/>
      <w:spacing w:val="80"/>
      <w:sz w:val="28"/>
    </w:rPr>
  </w:style>
  <w:style w:type="paragraph" w:customStyle="1" w:styleId="InChapter">
    <w:name w:val="InChapter"/>
    <w:basedOn w:val="Heading3"/>
    <w:rsid w:val="009C22A4"/>
    <w:pPr>
      <w:spacing w:after="240"/>
      <w:outlineLvl w:val="9"/>
    </w:pPr>
    <w:rPr>
      <w:noProof/>
    </w:rPr>
  </w:style>
  <w:style w:type="paragraph" w:styleId="Index2">
    <w:name w:val="index 2"/>
    <w:basedOn w:val="Normal"/>
    <w:next w:val="Normal"/>
    <w:semiHidden/>
    <w:rsid w:val="009C22A4"/>
    <w:pPr>
      <w:tabs>
        <w:tab w:val="right" w:pos="4176"/>
      </w:tabs>
      <w:ind w:left="568" w:hanging="284"/>
    </w:pPr>
    <w:rPr>
      <w:rFonts w:ascii="Garamond" w:hAnsi="Garamond"/>
    </w:rPr>
  </w:style>
  <w:style w:type="paragraph" w:customStyle="1" w:styleId="Byline">
    <w:name w:val="Byline"/>
    <w:rsid w:val="009C22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2A4"/>
    <w:pPr>
      <w:tabs>
        <w:tab w:val="clear" w:pos="3600"/>
        <w:tab w:val="clear" w:pos="3958"/>
      </w:tabs>
      <w:jc w:val="right"/>
    </w:pPr>
  </w:style>
  <w:style w:type="character" w:styleId="Emphasis">
    <w:name w:val="Emphasis"/>
    <w:basedOn w:val="DefaultParagraphFont"/>
    <w:qFormat/>
    <w:rsid w:val="009C22A4"/>
    <w:rPr>
      <w:i/>
    </w:rPr>
  </w:style>
  <w:style w:type="paragraph" w:styleId="Caption">
    <w:name w:val="caption"/>
    <w:basedOn w:val="BodyText"/>
    <w:next w:val="Normal"/>
    <w:qFormat/>
    <w:rsid w:val="009C22A4"/>
    <w:pPr>
      <w:framePr w:w="2268" w:hSpace="181" w:vSpace="181" w:wrap="around" w:vAnchor="text" w:hAnchor="page" w:x="1135" w:y="285" w:anchorLock="1"/>
    </w:pPr>
    <w:rPr>
      <w:i/>
    </w:rPr>
  </w:style>
  <w:style w:type="paragraph" w:customStyle="1" w:styleId="MiniTOCTitle">
    <w:name w:val="MiniTOCTitle"/>
    <w:basedOn w:val="Heading4"/>
    <w:rsid w:val="009C22A4"/>
    <w:pPr>
      <w:spacing w:before="240"/>
      <w:outlineLvl w:val="9"/>
    </w:pPr>
    <w:rPr>
      <w:noProof/>
      <w:sz w:val="24"/>
    </w:rPr>
  </w:style>
  <w:style w:type="paragraph" w:customStyle="1" w:styleId="MiniTOCItem">
    <w:name w:val="MiniTOCItem"/>
    <w:basedOn w:val="ListBullet"/>
    <w:rsid w:val="009C22A4"/>
    <w:pPr>
      <w:numPr>
        <w:numId w:val="0"/>
      </w:numPr>
      <w:tabs>
        <w:tab w:val="right" w:leader="dot" w:pos="6521"/>
      </w:tabs>
      <w:spacing w:before="0" w:after="0"/>
    </w:pPr>
  </w:style>
  <w:style w:type="paragraph" w:customStyle="1" w:styleId="TOFTitle">
    <w:name w:val="TOFTitle"/>
    <w:basedOn w:val="TOCTitle"/>
    <w:rsid w:val="009C22A4"/>
  </w:style>
  <w:style w:type="paragraph" w:styleId="TableofFigures">
    <w:name w:val="table of figures"/>
    <w:basedOn w:val="Normal"/>
    <w:next w:val="Normal"/>
    <w:semiHidden/>
    <w:rsid w:val="009C22A4"/>
    <w:pPr>
      <w:tabs>
        <w:tab w:val="right" w:leader="dot" w:pos="9072"/>
      </w:tabs>
      <w:ind w:left="970" w:hanging="403"/>
    </w:pPr>
    <w:rPr>
      <w:rFonts w:ascii="Times New Roman" w:hAnsi="Times New Roman"/>
      <w:b/>
    </w:rPr>
  </w:style>
  <w:style w:type="paragraph" w:styleId="ListNumber">
    <w:name w:val="List Number"/>
    <w:basedOn w:val="List"/>
    <w:rsid w:val="009C22A4"/>
    <w:pPr>
      <w:numPr>
        <w:numId w:val="15"/>
      </w:numPr>
      <w:tabs>
        <w:tab w:val="clear" w:pos="340"/>
      </w:tabs>
    </w:pPr>
  </w:style>
  <w:style w:type="character" w:customStyle="1" w:styleId="WingdingSymbols">
    <w:name w:val="Wingding Symbols"/>
    <w:rsid w:val="009C22A4"/>
    <w:rPr>
      <w:rFonts w:ascii="Wingdings" w:hAnsi="Wingdings"/>
    </w:rPr>
  </w:style>
  <w:style w:type="paragraph" w:customStyle="1" w:styleId="TableHeading">
    <w:name w:val="Table Heading"/>
    <w:basedOn w:val="HeadingBase"/>
    <w:rsid w:val="009C22A4"/>
    <w:pPr>
      <w:keepLines/>
      <w:pBdr>
        <w:bottom w:val="single" w:sz="6" w:space="1" w:color="918585"/>
      </w:pBdr>
      <w:spacing w:before="240"/>
    </w:pPr>
  </w:style>
  <w:style w:type="character" w:customStyle="1" w:styleId="HotSpot">
    <w:name w:val="HotSpot"/>
    <w:rsid w:val="009C22A4"/>
    <w:rPr>
      <w:color w:val="0033CC"/>
      <w:u w:val="none"/>
    </w:rPr>
  </w:style>
  <w:style w:type="paragraph" w:customStyle="1" w:styleId="BodyTextRight">
    <w:name w:val="Body Text Right"/>
    <w:basedOn w:val="BodyText"/>
    <w:rsid w:val="009C22A4"/>
    <w:pPr>
      <w:spacing w:before="0" w:after="0"/>
      <w:jc w:val="right"/>
    </w:pPr>
  </w:style>
  <w:style w:type="paragraph" w:styleId="Index3">
    <w:name w:val="index 3"/>
    <w:basedOn w:val="ListNumber2"/>
    <w:next w:val="Normal"/>
    <w:semiHidden/>
    <w:rsid w:val="009C22A4"/>
    <w:pPr>
      <w:numPr>
        <w:numId w:val="0"/>
      </w:numPr>
      <w:tabs>
        <w:tab w:val="right" w:leader="dot" w:pos="4176"/>
      </w:tabs>
    </w:pPr>
  </w:style>
  <w:style w:type="paragraph" w:styleId="ListNumber2">
    <w:name w:val="List Number 2"/>
    <w:basedOn w:val="List2"/>
    <w:rsid w:val="009C22A4"/>
    <w:pPr>
      <w:numPr>
        <w:numId w:val="10"/>
      </w:numPr>
      <w:tabs>
        <w:tab w:val="clear" w:pos="1060"/>
      </w:tabs>
    </w:pPr>
  </w:style>
  <w:style w:type="paragraph" w:customStyle="1" w:styleId="MarginNote">
    <w:name w:val="Margin Note"/>
    <w:basedOn w:val="BodyText"/>
    <w:rsid w:val="009C22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2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2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2A4"/>
    <w:rPr>
      <w:sz w:val="32"/>
    </w:rPr>
  </w:style>
  <w:style w:type="paragraph" w:customStyle="1" w:styleId="HeadingProcedure">
    <w:name w:val="Heading Procedure"/>
    <w:basedOn w:val="HeadingBase"/>
    <w:next w:val="Normal"/>
    <w:rsid w:val="009C22A4"/>
    <w:pPr>
      <w:tabs>
        <w:tab w:val="left" w:pos="0"/>
      </w:tabs>
      <w:spacing w:before="120" w:after="60"/>
    </w:pPr>
    <w:rPr>
      <w:i/>
      <w:color w:val="918585"/>
      <w:sz w:val="22"/>
    </w:rPr>
  </w:style>
  <w:style w:type="paragraph" w:customStyle="1" w:styleId="TableBodyText">
    <w:name w:val="Table Body Text"/>
    <w:basedOn w:val="BodyText"/>
    <w:rsid w:val="009C22A4"/>
    <w:pPr>
      <w:spacing w:before="60" w:after="60"/>
    </w:pPr>
  </w:style>
  <w:style w:type="paragraph" w:styleId="ListContinue">
    <w:name w:val="List Continue"/>
    <w:basedOn w:val="List"/>
    <w:rsid w:val="009C22A4"/>
    <w:pPr>
      <w:ind w:firstLine="0"/>
    </w:pPr>
  </w:style>
  <w:style w:type="paragraph" w:customStyle="1" w:styleId="ListNote">
    <w:name w:val="List Note"/>
    <w:basedOn w:val="List"/>
    <w:rsid w:val="009C22A4"/>
    <w:pPr>
      <w:pBdr>
        <w:top w:val="single" w:sz="6" w:space="2" w:color="918585"/>
        <w:bottom w:val="single" w:sz="6" w:space="2" w:color="918585"/>
      </w:pBdr>
      <w:tabs>
        <w:tab w:val="left" w:pos="1021"/>
      </w:tabs>
      <w:ind w:firstLine="0"/>
    </w:pPr>
  </w:style>
  <w:style w:type="paragraph" w:customStyle="1" w:styleId="Warning">
    <w:name w:val="Warning"/>
    <w:basedOn w:val="BodyText"/>
    <w:rsid w:val="009C22A4"/>
    <w:pPr>
      <w:shd w:val="clear" w:color="auto" w:fill="D9D9D9"/>
      <w:tabs>
        <w:tab w:val="left" w:pos="992"/>
      </w:tabs>
      <w:ind w:left="119" w:right="119"/>
    </w:pPr>
    <w:rPr>
      <w:sz w:val="20"/>
    </w:rPr>
  </w:style>
  <w:style w:type="paragraph" w:customStyle="1" w:styleId="MarginIcons">
    <w:name w:val="Margin Icons"/>
    <w:basedOn w:val="BodyText"/>
    <w:rsid w:val="009C22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2A4"/>
    <w:rPr>
      <w:rFonts w:ascii="Courier New" w:hAnsi="Courier New"/>
    </w:rPr>
  </w:style>
  <w:style w:type="paragraph" w:customStyle="1" w:styleId="NoteBullet">
    <w:name w:val="Note Bullet"/>
    <w:basedOn w:val="Note"/>
    <w:rsid w:val="009C22A4"/>
    <w:pPr>
      <w:tabs>
        <w:tab w:val="clear" w:pos="680"/>
      </w:tabs>
      <w:spacing w:before="60" w:after="60"/>
    </w:pPr>
  </w:style>
  <w:style w:type="paragraph" w:customStyle="1" w:styleId="SubHeading2">
    <w:name w:val="SubHeading2"/>
    <w:basedOn w:val="HeadingBase"/>
    <w:rsid w:val="009C22A4"/>
    <w:pPr>
      <w:spacing w:before="240" w:after="60"/>
    </w:pPr>
    <w:rPr>
      <w:sz w:val="20"/>
    </w:rPr>
  </w:style>
  <w:style w:type="paragraph" w:customStyle="1" w:styleId="SubHeading1">
    <w:name w:val="SubHeading1"/>
    <w:basedOn w:val="HeadingBase"/>
    <w:rsid w:val="009C22A4"/>
    <w:pPr>
      <w:spacing w:before="240" w:after="60"/>
    </w:pPr>
    <w:rPr>
      <w:color w:val="918585"/>
      <w:sz w:val="22"/>
    </w:rPr>
  </w:style>
  <w:style w:type="paragraph" w:customStyle="1" w:styleId="SideHeading">
    <w:name w:val="Side Heading"/>
    <w:basedOn w:val="HeadingBase"/>
    <w:rsid w:val="009C22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2A4"/>
    <w:pPr>
      <w:tabs>
        <w:tab w:val="num" w:pos="360"/>
      </w:tabs>
    </w:pPr>
  </w:style>
  <w:style w:type="paragraph" w:styleId="PlainText">
    <w:name w:val="Plain Text"/>
    <w:basedOn w:val="Normal"/>
    <w:link w:val="PlainTextChar"/>
    <w:rsid w:val="009C22A4"/>
    <w:rPr>
      <w:sz w:val="20"/>
    </w:rPr>
  </w:style>
  <w:style w:type="character" w:customStyle="1" w:styleId="PlainTextChar">
    <w:name w:val="Plain Text Char"/>
    <w:basedOn w:val="DefaultParagraphFont"/>
    <w:link w:val="PlainText"/>
    <w:rsid w:val="009C22A4"/>
    <w:rPr>
      <w:rFonts w:ascii="Courier New" w:eastAsia="Times New Roman" w:hAnsi="Courier New" w:cs="Times New Roman"/>
      <w:sz w:val="20"/>
      <w:szCs w:val="20"/>
      <w:lang w:eastAsia="en-US"/>
    </w:rPr>
  </w:style>
  <w:style w:type="character" w:customStyle="1" w:styleId="MenuOption">
    <w:name w:val="Menu Option"/>
    <w:basedOn w:val="DefaultParagraphFont"/>
    <w:rsid w:val="009C22A4"/>
    <w:rPr>
      <w:b/>
      <w:smallCaps/>
    </w:rPr>
  </w:style>
  <w:style w:type="paragraph" w:customStyle="1" w:styleId="TableListNumber">
    <w:name w:val="Table List Number"/>
    <w:basedOn w:val="ListNumber"/>
    <w:rsid w:val="009C22A4"/>
    <w:pPr>
      <w:numPr>
        <w:numId w:val="0"/>
      </w:numPr>
    </w:pPr>
  </w:style>
  <w:style w:type="paragraph" w:styleId="TOC4">
    <w:name w:val="toc 4"/>
    <w:basedOn w:val="TOCBase"/>
    <w:next w:val="Normal"/>
    <w:semiHidden/>
    <w:rsid w:val="009C22A4"/>
    <w:pPr>
      <w:tabs>
        <w:tab w:val="right" w:leader="dot" w:pos="9071"/>
      </w:tabs>
      <w:ind w:left="1701"/>
    </w:pPr>
  </w:style>
  <w:style w:type="paragraph" w:customStyle="1" w:styleId="ListAlpha">
    <w:name w:val="List Alpha"/>
    <w:basedOn w:val="List"/>
    <w:rsid w:val="009C22A4"/>
    <w:pPr>
      <w:numPr>
        <w:numId w:val="9"/>
      </w:numPr>
    </w:pPr>
  </w:style>
  <w:style w:type="paragraph" w:customStyle="1" w:styleId="ListAlpha2">
    <w:name w:val="List Alpha 2"/>
    <w:basedOn w:val="List2"/>
    <w:rsid w:val="009C22A4"/>
    <w:pPr>
      <w:numPr>
        <w:numId w:val="8"/>
      </w:numPr>
    </w:pPr>
  </w:style>
  <w:style w:type="paragraph" w:styleId="List2">
    <w:name w:val="List 2"/>
    <w:basedOn w:val="BodyText"/>
    <w:rsid w:val="009C22A4"/>
    <w:pPr>
      <w:tabs>
        <w:tab w:val="left" w:pos="680"/>
      </w:tabs>
      <w:spacing w:before="60" w:after="60"/>
      <w:ind w:left="680" w:hanging="340"/>
    </w:pPr>
  </w:style>
  <w:style w:type="paragraph" w:styleId="List3">
    <w:name w:val="List 3"/>
    <w:basedOn w:val="BodyText"/>
    <w:rsid w:val="009C22A4"/>
    <w:pPr>
      <w:tabs>
        <w:tab w:val="left" w:pos="1021"/>
      </w:tabs>
      <w:spacing w:before="60" w:after="60"/>
      <w:ind w:left="1020" w:hanging="340"/>
    </w:pPr>
  </w:style>
  <w:style w:type="paragraph" w:styleId="List4">
    <w:name w:val="List 4"/>
    <w:basedOn w:val="BodyText"/>
    <w:rsid w:val="009C22A4"/>
    <w:pPr>
      <w:tabs>
        <w:tab w:val="left" w:pos="1361"/>
      </w:tabs>
      <w:spacing w:before="60" w:after="60"/>
      <w:ind w:left="1361" w:hanging="340"/>
    </w:pPr>
  </w:style>
  <w:style w:type="paragraph" w:styleId="List5">
    <w:name w:val="List 5"/>
    <w:basedOn w:val="BodyText"/>
    <w:rsid w:val="009C22A4"/>
    <w:pPr>
      <w:tabs>
        <w:tab w:val="left" w:pos="1701"/>
      </w:tabs>
      <w:spacing w:before="60" w:after="60"/>
      <w:ind w:left="1701" w:hanging="340"/>
    </w:pPr>
  </w:style>
  <w:style w:type="paragraph" w:styleId="ListBullet3">
    <w:name w:val="List Bullet 3"/>
    <w:basedOn w:val="List3"/>
    <w:rsid w:val="009C22A4"/>
    <w:pPr>
      <w:numPr>
        <w:numId w:val="14"/>
      </w:numPr>
      <w:tabs>
        <w:tab w:val="clear" w:pos="1021"/>
      </w:tabs>
      <w:ind w:left="1037" w:hanging="357"/>
    </w:pPr>
  </w:style>
  <w:style w:type="paragraph" w:styleId="ListBullet4">
    <w:name w:val="List Bullet 4"/>
    <w:basedOn w:val="List4"/>
    <w:rsid w:val="009C22A4"/>
    <w:pPr>
      <w:numPr>
        <w:numId w:val="3"/>
      </w:numPr>
      <w:tabs>
        <w:tab w:val="clear" w:pos="1361"/>
      </w:tabs>
    </w:pPr>
  </w:style>
  <w:style w:type="paragraph" w:styleId="ListBullet5">
    <w:name w:val="List Bullet 5"/>
    <w:basedOn w:val="List5"/>
    <w:rsid w:val="009C22A4"/>
    <w:pPr>
      <w:numPr>
        <w:numId w:val="4"/>
      </w:numPr>
    </w:pPr>
  </w:style>
  <w:style w:type="paragraph" w:styleId="ListContinue2">
    <w:name w:val="List Continue 2"/>
    <w:basedOn w:val="List2"/>
    <w:rsid w:val="009C22A4"/>
    <w:pPr>
      <w:ind w:firstLine="0"/>
    </w:pPr>
  </w:style>
  <w:style w:type="paragraph" w:styleId="ListContinue3">
    <w:name w:val="List Continue 3"/>
    <w:basedOn w:val="List3"/>
    <w:rsid w:val="009C22A4"/>
    <w:pPr>
      <w:ind w:left="1021" w:firstLine="0"/>
    </w:pPr>
  </w:style>
  <w:style w:type="paragraph" w:styleId="ListContinue4">
    <w:name w:val="List Continue 4"/>
    <w:basedOn w:val="List4"/>
    <w:rsid w:val="009C22A4"/>
    <w:pPr>
      <w:ind w:firstLine="0"/>
    </w:pPr>
  </w:style>
  <w:style w:type="paragraph" w:styleId="ListContinue5">
    <w:name w:val="List Continue 5"/>
    <w:basedOn w:val="List5"/>
    <w:rsid w:val="009C22A4"/>
    <w:pPr>
      <w:ind w:firstLine="0"/>
    </w:pPr>
  </w:style>
  <w:style w:type="paragraph" w:styleId="ListNumber3">
    <w:name w:val="List Number 3"/>
    <w:basedOn w:val="List3"/>
    <w:rsid w:val="009C22A4"/>
    <w:pPr>
      <w:numPr>
        <w:numId w:val="5"/>
      </w:numPr>
    </w:pPr>
  </w:style>
  <w:style w:type="paragraph" w:styleId="ListNumber4">
    <w:name w:val="List Number 4"/>
    <w:basedOn w:val="List4"/>
    <w:rsid w:val="009C22A4"/>
    <w:pPr>
      <w:numPr>
        <w:numId w:val="6"/>
      </w:numPr>
    </w:pPr>
  </w:style>
  <w:style w:type="paragraph" w:styleId="ListNumber5">
    <w:name w:val="List Number 5"/>
    <w:basedOn w:val="List5"/>
    <w:rsid w:val="009C22A4"/>
    <w:pPr>
      <w:numPr>
        <w:numId w:val="7"/>
      </w:numPr>
    </w:pPr>
  </w:style>
  <w:style w:type="paragraph" w:styleId="BlockText">
    <w:name w:val="Block Text"/>
    <w:basedOn w:val="Normal"/>
    <w:rsid w:val="009C22A4"/>
    <w:pPr>
      <w:spacing w:after="120"/>
      <w:ind w:left="1440" w:right="1440"/>
    </w:pPr>
  </w:style>
  <w:style w:type="character" w:customStyle="1" w:styleId="Subscript">
    <w:name w:val="Subscript"/>
    <w:basedOn w:val="DefaultParagraphFont"/>
    <w:rsid w:val="009C22A4"/>
    <w:rPr>
      <w:sz w:val="16"/>
      <w:vertAlign w:val="subscript"/>
    </w:rPr>
  </w:style>
  <w:style w:type="character" w:customStyle="1" w:styleId="Superscript">
    <w:name w:val="Superscript"/>
    <w:basedOn w:val="DefaultParagraphFont"/>
    <w:rsid w:val="009C22A4"/>
    <w:rPr>
      <w:sz w:val="16"/>
      <w:vertAlign w:val="superscript"/>
    </w:rPr>
  </w:style>
  <w:style w:type="character" w:customStyle="1" w:styleId="Symbols">
    <w:name w:val="Symbols"/>
    <w:basedOn w:val="DefaultParagraphFont"/>
    <w:rsid w:val="009C22A4"/>
    <w:rPr>
      <w:rFonts w:ascii="Symbol" w:hAnsi="Symbol"/>
    </w:rPr>
  </w:style>
  <w:style w:type="character" w:customStyle="1" w:styleId="MenuOptions">
    <w:name w:val="Menu Options"/>
    <w:basedOn w:val="DefaultParagraphFont"/>
    <w:rsid w:val="009C22A4"/>
    <w:rPr>
      <w:rFonts w:ascii="Arial Narrow" w:hAnsi="Arial Narrow"/>
      <w:smallCaps/>
    </w:rPr>
  </w:style>
  <w:style w:type="character" w:customStyle="1" w:styleId="Buttons">
    <w:name w:val="Buttons"/>
    <w:basedOn w:val="DefaultParagraphFont"/>
    <w:rsid w:val="009C22A4"/>
    <w:rPr>
      <w:b/>
    </w:rPr>
  </w:style>
  <w:style w:type="character" w:customStyle="1" w:styleId="Underlined">
    <w:name w:val="Underlined"/>
    <w:basedOn w:val="DefaultParagraphFont"/>
    <w:rsid w:val="009C22A4"/>
    <w:rPr>
      <w:u w:val="single"/>
    </w:rPr>
  </w:style>
  <w:style w:type="paragraph" w:customStyle="1" w:styleId="TableBodyTextRight">
    <w:name w:val="Table Body Text Right"/>
    <w:basedOn w:val="TableBodyText"/>
    <w:rsid w:val="009C22A4"/>
    <w:pPr>
      <w:widowControl w:val="0"/>
      <w:autoSpaceDE w:val="0"/>
      <w:autoSpaceDN w:val="0"/>
      <w:adjustRightInd w:val="0"/>
      <w:jc w:val="right"/>
    </w:pPr>
    <w:rPr>
      <w:rFonts w:cs="Arial"/>
      <w:szCs w:val="18"/>
    </w:rPr>
  </w:style>
  <w:style w:type="paragraph" w:customStyle="1" w:styleId="CopyrightText">
    <w:name w:val="Copyright Text"/>
    <w:basedOn w:val="BodyText"/>
    <w:rsid w:val="009C22A4"/>
    <w:rPr>
      <w:sz w:val="18"/>
    </w:rPr>
  </w:style>
  <w:style w:type="paragraph" w:customStyle="1" w:styleId="BodySmallRight">
    <w:name w:val="Body Small Right"/>
    <w:basedOn w:val="BodyTextRight"/>
    <w:rsid w:val="009C22A4"/>
    <w:rPr>
      <w:sz w:val="18"/>
      <w:szCs w:val="18"/>
    </w:rPr>
  </w:style>
  <w:style w:type="paragraph" w:customStyle="1" w:styleId="MarginEdition">
    <w:name w:val="Margin Edition"/>
    <w:basedOn w:val="MarginNote"/>
    <w:rsid w:val="009C22A4"/>
    <w:pPr>
      <w:spacing w:before="0" w:after="0"/>
    </w:pPr>
    <w:rPr>
      <w:rFonts w:ascii="Times New Roman" w:hAnsi="Times New Roman"/>
      <w:color w:val="999999"/>
    </w:rPr>
  </w:style>
  <w:style w:type="paragraph" w:customStyle="1" w:styleId="Spacer">
    <w:name w:val="Spacer"/>
    <w:basedOn w:val="Normal"/>
    <w:rsid w:val="009C22A4"/>
    <w:rPr>
      <w:sz w:val="2"/>
      <w:szCs w:val="2"/>
    </w:rPr>
  </w:style>
  <w:style w:type="character" w:customStyle="1" w:styleId="Small">
    <w:name w:val="Small"/>
    <w:basedOn w:val="DefaultParagraphFont"/>
    <w:rsid w:val="009C22A4"/>
    <w:rPr>
      <w:sz w:val="16"/>
    </w:rPr>
  </w:style>
  <w:style w:type="paragraph" w:customStyle="1" w:styleId="WideTable">
    <w:name w:val="Wide Table"/>
    <w:basedOn w:val="Normal"/>
    <w:rsid w:val="009C22A4"/>
    <w:pPr>
      <w:ind w:left="-1418"/>
    </w:pPr>
    <w:rPr>
      <w:sz w:val="2"/>
      <w:szCs w:val="2"/>
    </w:rPr>
  </w:style>
  <w:style w:type="character" w:styleId="PageNumber">
    <w:name w:val="page number"/>
    <w:basedOn w:val="DefaultParagraphFont"/>
    <w:rsid w:val="009C22A4"/>
  </w:style>
  <w:style w:type="paragraph" w:styleId="Quote">
    <w:name w:val="Quote"/>
    <w:basedOn w:val="Heading1"/>
    <w:link w:val="QuoteChar"/>
    <w:qFormat/>
    <w:rsid w:val="009C22A4"/>
    <w:rPr>
      <w:b w:val="0"/>
      <w:sz w:val="72"/>
      <w:szCs w:val="72"/>
      <w:lang w:val="en-NZ"/>
    </w:rPr>
  </w:style>
  <w:style w:type="character" w:customStyle="1" w:styleId="QuoteChar">
    <w:name w:val="Quote Char"/>
    <w:basedOn w:val="DefaultParagraphFont"/>
    <w:link w:val="Quote"/>
    <w:rsid w:val="009C22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2A4"/>
    <w:pPr>
      <w:pageBreakBefore/>
    </w:pPr>
  </w:style>
  <w:style w:type="paragraph" w:customStyle="1" w:styleId="Border">
    <w:name w:val="Border"/>
    <w:basedOn w:val="Normal"/>
    <w:qFormat/>
    <w:rsid w:val="009C22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2A4"/>
    <w:rPr>
      <w:b/>
      <w:bCs/>
      <w:i/>
      <w:iCs/>
      <w:color w:val="auto"/>
    </w:rPr>
  </w:style>
  <w:style w:type="paragraph" w:styleId="IntenseQuote">
    <w:name w:val="Intense Quote"/>
    <w:basedOn w:val="Normal"/>
    <w:next w:val="Normal"/>
    <w:link w:val="IntenseQuoteChar"/>
    <w:uiPriority w:val="30"/>
    <w:qFormat/>
    <w:rsid w:val="009C22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2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2A4"/>
    <w:rPr>
      <w:smallCaps/>
      <w:color w:val="auto"/>
      <w:u w:val="single"/>
    </w:rPr>
  </w:style>
  <w:style w:type="character" w:styleId="IntenseReference">
    <w:name w:val="Intense Reference"/>
    <w:basedOn w:val="DefaultParagraphFont"/>
    <w:uiPriority w:val="32"/>
    <w:qFormat/>
    <w:rsid w:val="009C22A4"/>
    <w:rPr>
      <w:b/>
      <w:bCs/>
      <w:smallCaps/>
      <w:color w:val="auto"/>
      <w:spacing w:val="5"/>
      <w:u w:val="single"/>
    </w:rPr>
  </w:style>
  <w:style w:type="paragraph" w:customStyle="1" w:styleId="2ColumnHeading">
    <w:name w:val="2Column Heading"/>
    <w:basedOn w:val="BodyText"/>
    <w:qFormat/>
    <w:rsid w:val="009C22A4"/>
    <w:pPr>
      <w:spacing w:after="60"/>
      <w:ind w:left="-2268"/>
    </w:pPr>
    <w:rPr>
      <w:b/>
    </w:rPr>
  </w:style>
  <w:style w:type="paragraph" w:customStyle="1" w:styleId="Heading1TOC">
    <w:name w:val="Heading1 TOC"/>
    <w:basedOn w:val="Normal"/>
    <w:qFormat/>
    <w:rsid w:val="009C22A4"/>
    <w:pPr>
      <w:spacing w:before="240" w:after="120"/>
    </w:pPr>
    <w:rPr>
      <w:rFonts w:ascii="Times New Roman" w:hAnsi="Times New Roman"/>
      <w:b/>
      <w:sz w:val="32"/>
    </w:rPr>
  </w:style>
  <w:style w:type="paragraph" w:customStyle="1" w:styleId="Heading2TOC">
    <w:name w:val="Heading2 TOC"/>
    <w:basedOn w:val="Normal"/>
    <w:qFormat/>
    <w:rsid w:val="009C22A4"/>
    <w:pPr>
      <w:spacing w:before="240" w:after="60"/>
    </w:pPr>
    <w:rPr>
      <w:rFonts w:ascii="Times New Roman" w:hAnsi="Times New Roman"/>
      <w:b/>
      <w:sz w:val="28"/>
    </w:rPr>
  </w:style>
  <w:style w:type="character" w:customStyle="1" w:styleId="Underline">
    <w:name w:val="Underline"/>
    <w:basedOn w:val="DefaultParagraphFont"/>
    <w:qFormat/>
    <w:rsid w:val="009C22A4"/>
    <w:rPr>
      <w:u w:val="single"/>
    </w:rPr>
  </w:style>
  <w:style w:type="character" w:customStyle="1" w:styleId="BoldandItalics">
    <w:name w:val="Bold and Italics"/>
    <w:qFormat/>
    <w:rsid w:val="009C22A4"/>
    <w:rPr>
      <w:b/>
      <w:i/>
      <w:u w:val="none"/>
    </w:rPr>
  </w:style>
  <w:style w:type="paragraph" w:styleId="BalloonText">
    <w:name w:val="Balloon Text"/>
    <w:basedOn w:val="Normal"/>
    <w:link w:val="BalloonTextChar"/>
    <w:rsid w:val="009C22A4"/>
    <w:rPr>
      <w:rFonts w:ascii="Tahoma" w:hAnsi="Tahoma" w:cs="Tahoma"/>
      <w:sz w:val="16"/>
      <w:szCs w:val="16"/>
    </w:rPr>
  </w:style>
  <w:style w:type="character" w:customStyle="1" w:styleId="BalloonTextChar">
    <w:name w:val="Balloon Text Char"/>
    <w:basedOn w:val="DefaultParagraphFont"/>
    <w:link w:val="BalloonText"/>
    <w:rsid w:val="009C22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2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2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2A4"/>
    <w:rPr>
      <w:b/>
      <w:color w:val="660033"/>
      <w:spacing w:val="0"/>
    </w:rPr>
  </w:style>
  <w:style w:type="paragraph" w:customStyle="1" w:styleId="Nameditemlist">
    <w:name w:val="Named item list"/>
    <w:basedOn w:val="BodyText"/>
    <w:qFormat/>
    <w:rsid w:val="009C22A4"/>
    <w:pPr>
      <w:tabs>
        <w:tab w:val="left" w:pos="2835"/>
      </w:tabs>
      <w:ind w:left="2835" w:hanging="2835"/>
    </w:pPr>
  </w:style>
  <w:style w:type="paragraph" w:customStyle="1" w:styleId="BodyTextnopadding">
    <w:name w:val="Body Text no padding"/>
    <w:basedOn w:val="BodyText"/>
    <w:qFormat/>
    <w:rsid w:val="009C22A4"/>
    <w:pPr>
      <w:spacing w:before="0" w:after="0"/>
    </w:pPr>
  </w:style>
  <w:style w:type="paragraph" w:customStyle="1" w:styleId="BodyTextBold">
    <w:name w:val="Body Text Bold"/>
    <w:basedOn w:val="BodyText"/>
    <w:qFormat/>
    <w:rsid w:val="009C22A4"/>
    <w:rPr>
      <w:b/>
    </w:rPr>
  </w:style>
  <w:style w:type="character" w:styleId="Hyperlink">
    <w:name w:val="Hyperlink"/>
    <w:basedOn w:val="DefaultParagraphFont"/>
    <w:uiPriority w:val="99"/>
    <w:unhideWhenUsed/>
    <w:rsid w:val="00B71F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2205</Words>
  <Characters>14911</Characters>
  <Application>Microsoft Office Word</Application>
  <DocSecurity>0</DocSecurity>
  <Lines>426</Lines>
  <Paragraphs>241</Paragraphs>
  <ScaleCrop>false</ScaleCrop>
  <Company>Author-it Software Corporation Ltd.</Company>
  <LinksUpToDate>false</LinksUpToDate>
  <CharactersWithSpaces>16875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UETTDRSB22 Carry out power systems substation inspection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2025-03-01T18:59:00Z</dcterms:created>
  <dcterms:modified xsi:type="dcterms:W3CDTF">2025-03-01T18:59:00Z</dcterms:modified>
</cp:coreProperties>
</file>