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F47" w:rsidP="00AB4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UETTDRRT28 Maintain overhead traction components and equipment</w:t>
      </w:r>
      <w:r>
        <w:fldChar w:fldCharType="end"/>
      </w:r>
    </w:p>
    <w:p w:rsidR="00AB4F47" w:rsidP="00AB4F47">
      <w:pPr>
        <w:pStyle w:val="Version"/>
        <w:sectPr w:rsidSect="00627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CEE" w:rsidP="00627CEE">
      <w:pPr>
        <w:pStyle w:val="SuperHeading"/>
      </w:pPr>
      <w:r w:rsidRPr="00627CEE">
        <w:t>Assessment Requirements for UETTDRRT28 Maintain overhead traction components and equipment</w:t>
      </w:r>
    </w:p>
    <w:p w:rsidR="00000000" w:rsidRPr="00627CEE" w:rsidP="00627CEE">
      <w:pPr>
        <w:pStyle w:val="Heading1"/>
      </w:pPr>
      <w:bookmarkStart w:id="1" w:name="O_1004236"/>
      <w:bookmarkEnd w:id="1"/>
      <w:r w:rsidRPr="00627C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E" w:rsidP="00627CEE">
            <w:pPr>
              <w:pStyle w:val="BodyText"/>
            </w:pPr>
            <w:r w:rsidRPr="00627CEE">
              <w:t>Release 1. This is the first release of this unit of competency in the UET Transmission, Distribution and Rail Sector Training Package.</w:t>
            </w:r>
          </w:p>
        </w:tc>
      </w:tr>
    </w:tbl>
    <w:p w:rsidR="00AB4F47" w:rsidP="00627CEE">
      <w:pPr>
        <w:pStyle w:val="NoPaddingFontSize1"/>
      </w:pPr>
    </w:p>
    <w:p w:rsidR="00AB4F47" w:rsidP="00627CEE">
      <w:pPr>
        <w:pStyle w:val="NoPaddingFontSize1"/>
      </w:pPr>
    </w:p>
    <w:p w:rsidR="00000000" w:rsidRPr="00627CEE" w:rsidP="00627CEE">
      <w:pPr>
        <w:pStyle w:val="Heading1"/>
      </w:pPr>
      <w:bookmarkStart w:id="2" w:name="O_1004237"/>
      <w:bookmarkEnd w:id="2"/>
      <w:r w:rsidRPr="00627C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E">
            <w:pPr>
              <w:pStyle w:val="BodyText"/>
              <w:rPr>
                <w:lang w:val="en-NZ"/>
              </w:rPr>
            </w:pPr>
            <w:r w:rsidRPr="00627CEE">
              <w:t xml:space="preserve">Evidence required to demonstrate competence in this unit must be relevant to </w:t>
            </w:r>
            <w:r w:rsidRPr="00627CEE">
              <w:t xml:space="preserve">and satisfy all of the requirements of the elements and performance criteria on at least two separate occasions and include:  </w:t>
            </w:r>
          </w:p>
        </w:tc>
      </w:tr>
      <w:tr w:rsidTr="00627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E" w:rsidP="00627CEE">
            <w:pPr>
              <w:pStyle w:val="ListBullet"/>
            </w:pPr>
            <w:r w:rsidRPr="00627CEE">
              <w:t>applying relevant work health and safety (WHS)/occupational health and safety (OHS) requirements, including the use of risk con</w:t>
            </w:r>
            <w:r w:rsidRPr="00627CEE">
              <w:t xml:space="preserve">trol measures </w:t>
            </w:r>
          </w:p>
          <w:p w:rsidR="00000000" w:rsidRPr="00627CEE" w:rsidP="00627CEE">
            <w:pPr>
              <w:pStyle w:val="ListBullet"/>
            </w:pPr>
            <w:r w:rsidRPr="00627CEE">
              <w:t>applying sustainable energy principles and practices</w:t>
            </w:r>
          </w:p>
          <w:p w:rsidR="00000000" w:rsidRPr="00627CEE" w:rsidP="00627CEE">
            <w:pPr>
              <w:pStyle w:val="ListBullet"/>
            </w:pPr>
            <w:r w:rsidRPr="00627CEE">
              <w:t>using at least two (2) of the following types of equipment:</w:t>
            </w:r>
          </w:p>
          <w:p w:rsidR="00000000" w:rsidRPr="00627CEE" w:rsidP="00627CEE">
            <w:pPr>
              <w:pStyle w:val="ListBullet2"/>
            </w:pPr>
            <w:r w:rsidRPr="00627CEE">
              <w:t>fuse switches</w:t>
            </w:r>
          </w:p>
          <w:p w:rsidR="00000000" w:rsidRPr="00627CEE" w:rsidP="00627CEE">
            <w:pPr>
              <w:pStyle w:val="ListBullet2"/>
            </w:pPr>
            <w:r w:rsidRPr="00627CEE">
              <w:t>dropout fuses</w:t>
            </w:r>
          </w:p>
          <w:p w:rsidR="00000000" w:rsidRPr="00627CEE" w:rsidP="00627CEE">
            <w:pPr>
              <w:pStyle w:val="ListBullet2"/>
            </w:pPr>
            <w:r w:rsidRPr="00627CEE">
              <w:t>section insulators</w:t>
            </w:r>
          </w:p>
          <w:p w:rsidR="00000000" w:rsidRPr="00627CEE" w:rsidP="00627CEE">
            <w:pPr>
              <w:pStyle w:val="ListBullet2"/>
            </w:pPr>
            <w:r w:rsidRPr="00627CEE">
              <w:t>switches/isolators</w:t>
            </w:r>
          </w:p>
          <w:p w:rsidR="00000000" w:rsidRPr="00627CEE" w:rsidP="00627CEE">
            <w:pPr>
              <w:pStyle w:val="ListBullet2"/>
            </w:pPr>
            <w:r w:rsidRPr="00627CEE">
              <w:t>links</w:t>
            </w:r>
          </w:p>
          <w:p w:rsidR="00000000" w:rsidRPr="00627CEE" w:rsidP="00627CEE">
            <w:pPr>
              <w:pStyle w:val="ListBullet2"/>
            </w:pPr>
            <w:r w:rsidRPr="00627CEE">
              <w:t>fuses</w:t>
            </w:r>
          </w:p>
          <w:p w:rsidR="00000000" w:rsidRPr="00627CEE" w:rsidP="00627CEE">
            <w:pPr>
              <w:pStyle w:val="ListBullet2"/>
            </w:pPr>
            <w:r w:rsidRPr="00627CEE">
              <w:t>surge diverters</w:t>
            </w:r>
          </w:p>
          <w:p w:rsidR="00000000" w:rsidRPr="00627CEE" w:rsidP="00627CEE">
            <w:pPr>
              <w:pStyle w:val="ListBullet2"/>
            </w:pPr>
            <w:r w:rsidRPr="00627CEE">
              <w:t>transformers</w:t>
            </w:r>
          </w:p>
          <w:p w:rsidR="00000000" w:rsidRPr="00627CEE" w:rsidP="00627CEE">
            <w:pPr>
              <w:pStyle w:val="ListBullet"/>
            </w:pPr>
            <w:r w:rsidRPr="00627CEE">
              <w:t>using at least five (5) of the following types of components:</w:t>
            </w:r>
          </w:p>
          <w:p w:rsidR="00000000" w:rsidRPr="00627CEE" w:rsidP="00627CEE">
            <w:pPr>
              <w:pStyle w:val="ListBullet2"/>
            </w:pPr>
            <w:r w:rsidRPr="00627CEE">
              <w:t>cantilever hardware</w:t>
            </w:r>
          </w:p>
          <w:p w:rsidR="00000000" w:rsidRPr="00627CEE" w:rsidP="00627CEE">
            <w:pPr>
              <w:pStyle w:val="ListBullet2"/>
            </w:pPr>
            <w:r w:rsidRPr="00627CEE">
              <w:t>head span</w:t>
            </w:r>
          </w:p>
          <w:p w:rsidR="00000000" w:rsidRPr="00627CEE" w:rsidP="00627CEE">
            <w:pPr>
              <w:pStyle w:val="ListBullet2"/>
            </w:pPr>
            <w:r w:rsidRPr="00627CEE">
              <w:t>neutral sections</w:t>
            </w:r>
          </w:p>
          <w:p w:rsidR="00000000" w:rsidRPr="00627CEE" w:rsidP="00627CEE">
            <w:pPr>
              <w:pStyle w:val="ListBullet2"/>
            </w:pPr>
            <w:r w:rsidRPr="00627CEE">
              <w:t>pull offs</w:t>
            </w:r>
          </w:p>
          <w:p w:rsidR="00000000" w:rsidRPr="00627CEE" w:rsidP="00627CEE">
            <w:pPr>
              <w:pStyle w:val="ListBullet2"/>
            </w:pPr>
            <w:r w:rsidRPr="00627CEE">
              <w:t>registration fittings</w:t>
            </w:r>
          </w:p>
          <w:p w:rsidR="00000000" w:rsidRPr="00627CEE" w:rsidP="00627CEE">
            <w:pPr>
              <w:pStyle w:val="ListBullet2"/>
            </w:pPr>
            <w:r w:rsidRPr="00627CEE">
              <w:t>steady span</w:t>
            </w:r>
          </w:p>
          <w:p w:rsidR="00000000" w:rsidRPr="00627CEE" w:rsidP="00627CEE">
            <w:pPr>
              <w:pStyle w:val="ListBullet2"/>
            </w:pPr>
            <w:r w:rsidRPr="00627CEE">
              <w:t>tension regulators</w:t>
            </w:r>
          </w:p>
          <w:p w:rsidR="00000000" w:rsidRPr="00627CEE" w:rsidP="00627CEE">
            <w:pPr>
              <w:pStyle w:val="ListBullet2"/>
            </w:pPr>
            <w:r w:rsidRPr="00627CEE">
              <w:t>cross spans</w:t>
            </w:r>
          </w:p>
          <w:p w:rsidR="00000000" w:rsidRPr="00627CEE" w:rsidP="00627CEE">
            <w:pPr>
              <w:pStyle w:val="ListBullet2"/>
            </w:pPr>
            <w:r w:rsidRPr="00627CEE">
              <w:t>tramway support network</w:t>
            </w:r>
          </w:p>
          <w:p w:rsidR="00000000" w:rsidRPr="00627CEE" w:rsidP="00627CEE">
            <w:pPr>
              <w:pStyle w:val="ListBullet2"/>
            </w:pPr>
            <w:r w:rsidRPr="00627CEE">
              <w:t>pendulum</w:t>
            </w:r>
          </w:p>
          <w:p w:rsidR="00000000" w:rsidRPr="00627CEE" w:rsidP="00627CEE">
            <w:pPr>
              <w:pStyle w:val="ListBullet"/>
            </w:pPr>
            <w:r w:rsidRPr="00627CEE">
              <w:t>using at least two (2) of the following types of fittings:</w:t>
            </w:r>
          </w:p>
          <w:p w:rsidR="00000000" w:rsidRPr="00627CEE" w:rsidP="00627CEE">
            <w:pPr>
              <w:pStyle w:val="ListBullet2"/>
            </w:pPr>
            <w:r w:rsidRPr="00627CEE">
              <w:t>preformed fittings</w:t>
            </w:r>
          </w:p>
          <w:p w:rsidR="00000000" w:rsidRPr="00627CEE" w:rsidP="00627CEE">
            <w:pPr>
              <w:pStyle w:val="ListBullet2"/>
            </w:pPr>
            <w:r w:rsidRPr="00627CEE">
              <w:t>compression fittings</w:t>
            </w:r>
          </w:p>
          <w:p w:rsidR="00000000" w:rsidRPr="00627CEE" w:rsidP="00627CEE">
            <w:pPr>
              <w:pStyle w:val="ListBullet2"/>
            </w:pPr>
            <w:r w:rsidRPr="00627CEE">
              <w:t>wedge fittings</w:t>
            </w:r>
          </w:p>
          <w:p w:rsidR="00000000" w:rsidRPr="00627CEE" w:rsidP="00627CEE">
            <w:pPr>
              <w:pStyle w:val="ListBullet2"/>
            </w:pPr>
            <w:r w:rsidRPr="00627CEE">
              <w:t>bolted splices</w:t>
            </w:r>
          </w:p>
          <w:p w:rsidR="00000000" w:rsidRPr="00627CEE" w:rsidP="00627CEE">
            <w:pPr>
              <w:pStyle w:val="ListBullet"/>
            </w:pPr>
            <w:r w:rsidRPr="00627CEE">
              <w:t>using at least three (3) of the following types of connecting components:</w:t>
            </w:r>
          </w:p>
          <w:p w:rsidR="00000000" w:rsidRPr="00627CEE" w:rsidP="00627CEE">
            <w:pPr>
              <w:pStyle w:val="ListBullet2"/>
            </w:pPr>
            <w:r w:rsidRPr="00627CEE">
              <w:t>feeders</w:t>
            </w:r>
          </w:p>
          <w:p w:rsidR="00000000" w:rsidRPr="00627CEE" w:rsidP="00627CEE">
            <w:pPr>
              <w:pStyle w:val="ListBullet2"/>
            </w:pPr>
            <w:r w:rsidRPr="00627CEE">
              <w:t>dissimilar conductors</w:t>
            </w:r>
          </w:p>
          <w:p w:rsidR="00000000" w:rsidRPr="00627CEE" w:rsidP="00627CEE">
            <w:pPr>
              <w:pStyle w:val="ListBullet2"/>
            </w:pPr>
            <w:r w:rsidRPr="00627CEE">
              <w:t>lugs</w:t>
            </w:r>
          </w:p>
          <w:p w:rsidR="00000000" w:rsidRPr="00627CEE" w:rsidP="00627CEE">
            <w:pPr>
              <w:pStyle w:val="ListBullet2"/>
            </w:pPr>
            <w:r w:rsidRPr="00627CEE">
              <w:t>bolted clamp</w:t>
            </w:r>
          </w:p>
          <w:p w:rsidR="00000000" w:rsidRPr="00627CEE" w:rsidP="00627CEE">
            <w:pPr>
              <w:pStyle w:val="ListBullet2"/>
            </w:pPr>
            <w:r w:rsidRPr="00627CEE">
              <w:t>drapes/potential jumper</w:t>
            </w:r>
          </w:p>
          <w:p w:rsidR="00000000" w:rsidRPr="00627CEE" w:rsidP="00627CEE">
            <w:pPr>
              <w:pStyle w:val="ListBullet2"/>
            </w:pPr>
            <w:r w:rsidRPr="00627CEE">
              <w:t>droppers</w:t>
            </w:r>
          </w:p>
          <w:p w:rsidR="00000000" w:rsidRPr="00627CEE" w:rsidP="00627CEE">
            <w:pPr>
              <w:pStyle w:val="ListBullet"/>
            </w:pPr>
            <w:r w:rsidRPr="00627CEE">
              <w:t>obtaining equipment, tools and personal protective equipment (PPE) required for maintaining overhead traction components and equipment that includes at least two (2) of the following types of tools and equipment:</w:t>
            </w:r>
          </w:p>
          <w:p w:rsidR="00000000" w:rsidRPr="00627CEE" w:rsidP="00627CEE">
            <w:pPr>
              <w:pStyle w:val="ListBullet2"/>
            </w:pPr>
            <w:r w:rsidRPr="00627CEE">
              <w:t xml:space="preserve">voltage </w:t>
            </w:r>
            <w:r w:rsidRPr="00627CEE">
              <w:t>detectors</w:t>
            </w:r>
          </w:p>
          <w:p w:rsidR="00000000" w:rsidRPr="00627CEE" w:rsidP="00627CEE">
            <w:pPr>
              <w:pStyle w:val="ListBullet2"/>
            </w:pPr>
            <w:r w:rsidRPr="00627CEE">
              <w:t>micrometer/gauge</w:t>
            </w:r>
          </w:p>
          <w:p w:rsidR="00000000" w:rsidRPr="00627CEE" w:rsidP="00627CEE">
            <w:pPr>
              <w:pStyle w:val="ListBullet2"/>
            </w:pPr>
            <w:r w:rsidRPr="00627CEE">
              <w:t>tension wrench</w:t>
            </w:r>
          </w:p>
          <w:p w:rsidR="00000000" w:rsidRPr="00627CEE" w:rsidP="00627CEE">
            <w:pPr>
              <w:pStyle w:val="ListBullet2"/>
            </w:pPr>
            <w:r w:rsidRPr="00627CEE">
              <w:t>dynamometer</w:t>
            </w:r>
          </w:p>
          <w:p w:rsidR="00000000" w:rsidRPr="00627CEE" w:rsidP="00627CEE">
            <w:pPr>
              <w:pStyle w:val="ListBullet2"/>
            </w:pPr>
            <w:r w:rsidRPr="00627CEE">
              <w:t>specialised tools</w:t>
            </w:r>
          </w:p>
          <w:p w:rsidR="00000000" w:rsidRPr="00627CEE" w:rsidP="00627CEE">
            <w:pPr>
              <w:pStyle w:val="ListBullet"/>
            </w:pPr>
            <w:r w:rsidRPr="00627CEE">
              <w:t>dealing with unplanned events on at least one (1) occasion.</w:t>
            </w:r>
          </w:p>
        </w:tc>
      </w:tr>
    </w:tbl>
    <w:p w:rsidR="00000000" w:rsidRPr="00627CEE" w:rsidP="00627CEE">
      <w:pPr>
        <w:pStyle w:val="NoPaddingFontSize1"/>
      </w:pPr>
    </w:p>
    <w:p w:rsidR="00000000" w:rsidRPr="00627CEE" w:rsidP="00627CEE">
      <w:pPr>
        <w:pStyle w:val="AllowPageBreak"/>
      </w:pPr>
    </w:p>
    <w:p w:rsidR="00000000" w:rsidRPr="00627CEE" w:rsidP="00627CEE">
      <w:pPr>
        <w:pStyle w:val="Heading1"/>
      </w:pPr>
      <w:bookmarkStart w:id="3" w:name="O_1004238"/>
      <w:bookmarkEnd w:id="3"/>
      <w:r w:rsidRPr="00627C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EE">
            <w:pPr>
              <w:pStyle w:val="BodyText"/>
              <w:rPr>
                <w:lang w:val="en-NZ"/>
              </w:rPr>
            </w:pPr>
            <w:r w:rsidRPr="00627CEE">
              <w:t>Evidence</w:t>
            </w:r>
            <w:r w:rsidRPr="00627CEE">
              <w:t xml:space="preserve"> required to demonstrate competence in this unit must be relevant to and satisfy all of the requirements of the elements and performance criteria and include knowledge of:</w:t>
            </w:r>
          </w:p>
        </w:tc>
      </w:tr>
      <w:tr w:rsidTr="00627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E" w:rsidP="00627CEE">
            <w:pPr>
              <w:pStyle w:val="ListBullet"/>
            </w:pPr>
            <w:r w:rsidRPr="00627CEE">
              <w:t>types and purpose of overhead traction equipment, including:</w:t>
            </w:r>
          </w:p>
          <w:p w:rsidR="00000000" w:rsidRPr="00627CEE" w:rsidP="00627CEE">
            <w:pPr>
              <w:pStyle w:val="ListBullet2"/>
            </w:pPr>
            <w:r w:rsidRPr="00627CEE">
              <w:t xml:space="preserve">switches/isolators, </w:t>
            </w:r>
            <w:r w:rsidRPr="00627CEE">
              <w:t>fuse switches, links, section insulators, and fuses</w:t>
            </w:r>
          </w:p>
          <w:p w:rsidR="00000000" w:rsidRPr="00627CEE" w:rsidP="00627CEE">
            <w:pPr>
              <w:pStyle w:val="ListBullet"/>
            </w:pPr>
            <w:r w:rsidRPr="00627CEE">
              <w:t>types and purpose of overhead components, including:</w:t>
            </w:r>
          </w:p>
          <w:p w:rsidR="00000000" w:rsidRPr="00627CEE" w:rsidP="00627CEE">
            <w:pPr>
              <w:pStyle w:val="ListBullet2"/>
            </w:pPr>
            <w:r w:rsidRPr="00627CEE">
              <w:t xml:space="preserve">cantilever hardware, droppers, bay components, portal hardware, head span hardware, section </w:t>
            </w:r>
            <w:r w:rsidRPr="00627CEE">
              <w:t>insulators, neutral sections, registration fittings, steady span, tension regulators and cross spans</w:t>
            </w:r>
          </w:p>
          <w:p w:rsidR="00000000" w:rsidRPr="00627CEE" w:rsidP="00627CEE">
            <w:pPr>
              <w:pStyle w:val="ListBullet"/>
            </w:pPr>
            <w:r w:rsidRPr="00627CEE">
              <w:t>types of conductors used for overheads wiring, such as hard-drawn, computer-aided drafting (CAD), and tin-bearing copper, aluminium, steel and other alloy</w:t>
            </w:r>
            <w:r w:rsidRPr="00627CEE">
              <w:t>ed conductors</w:t>
            </w:r>
          </w:p>
          <w:p w:rsidR="00000000" w:rsidRPr="00627CEE" w:rsidP="00627CEE">
            <w:pPr>
              <w:pStyle w:val="ListBullet"/>
            </w:pPr>
            <w:r w:rsidRPr="00627CEE">
              <w:t>types of traction wire support structures, such as portals, cantilevers, drop pieces, head spans, cross spans and pull-offs</w:t>
            </w:r>
          </w:p>
          <w:p w:rsidR="00000000" w:rsidRPr="00627CEE" w:rsidP="00627CEE">
            <w:pPr>
              <w:pStyle w:val="ListBullet"/>
            </w:pPr>
            <w:r w:rsidRPr="00627CEE">
              <w:t>types and purpose of ancillary equipment, including:</w:t>
            </w:r>
          </w:p>
          <w:p w:rsidR="00000000" w:rsidRPr="00627CEE" w:rsidP="00627CEE">
            <w:pPr>
              <w:pStyle w:val="ListBullet2"/>
            </w:pPr>
            <w:r w:rsidRPr="00627CEE">
              <w:t>surge arresters, booster and auxiliary transformers)</w:t>
            </w:r>
          </w:p>
          <w:p w:rsidR="00000000" w:rsidRPr="00627CEE" w:rsidP="00627CEE">
            <w:pPr>
              <w:pStyle w:val="ListBullet"/>
            </w:pPr>
            <w:r w:rsidRPr="00627CEE">
              <w:t>methods fo</w:t>
            </w:r>
            <w:r w:rsidRPr="00627CEE">
              <w:t>r replacing conductors, including the use of:</w:t>
            </w:r>
          </w:p>
          <w:p w:rsidR="00000000" w:rsidRPr="00627CEE" w:rsidP="00627CEE">
            <w:pPr>
              <w:pStyle w:val="ListBullet2"/>
            </w:pPr>
            <w:r w:rsidRPr="00627CEE">
              <w:t>preformed fittings</w:t>
            </w:r>
          </w:p>
          <w:p w:rsidR="00000000" w:rsidRPr="00627CEE" w:rsidP="00627CEE">
            <w:pPr>
              <w:pStyle w:val="ListBullet2"/>
            </w:pPr>
            <w:r w:rsidRPr="00627CEE">
              <w:t>compression fittings</w:t>
            </w:r>
          </w:p>
          <w:p w:rsidR="00000000" w:rsidRPr="00627CEE" w:rsidP="00627CEE">
            <w:pPr>
              <w:pStyle w:val="ListBullet2"/>
            </w:pPr>
            <w:r w:rsidRPr="00627CEE">
              <w:t>wedged fittings</w:t>
            </w:r>
          </w:p>
          <w:p w:rsidR="00000000" w:rsidRPr="00627CEE" w:rsidP="00627CEE">
            <w:pPr>
              <w:pStyle w:val="ListBullet2"/>
            </w:pPr>
            <w:r w:rsidRPr="00627CEE">
              <w:t>bolted splices</w:t>
            </w:r>
          </w:p>
          <w:p w:rsidR="00000000" w:rsidRPr="00627CEE" w:rsidP="00627CEE">
            <w:pPr>
              <w:pStyle w:val="ListBullet2"/>
            </w:pPr>
            <w:r w:rsidRPr="00627CEE">
              <w:t>lugs</w:t>
            </w:r>
          </w:p>
          <w:p w:rsidR="00000000" w:rsidRPr="00627CEE" w:rsidP="00627CEE">
            <w:pPr>
              <w:pStyle w:val="ListBullet2"/>
            </w:pPr>
            <w:r w:rsidRPr="00627CEE">
              <w:t>bolted clamps</w:t>
            </w:r>
          </w:p>
          <w:p w:rsidR="00000000" w:rsidRPr="00627CEE" w:rsidP="00627CEE">
            <w:pPr>
              <w:pStyle w:val="ListBullet"/>
            </w:pPr>
            <w:r w:rsidRPr="00627CEE">
              <w:t>methods for replacing components, such as:</w:t>
            </w:r>
          </w:p>
          <w:p w:rsidR="00000000" w:rsidRPr="00627CEE" w:rsidP="00627CEE">
            <w:pPr>
              <w:pStyle w:val="ListBullet2"/>
            </w:pPr>
            <w:r w:rsidRPr="00627CEE">
              <w:t>feeders</w:t>
            </w:r>
          </w:p>
          <w:p w:rsidR="00000000" w:rsidRPr="00627CEE" w:rsidP="00627CEE">
            <w:pPr>
              <w:pStyle w:val="ListBullet2"/>
            </w:pPr>
            <w:r w:rsidRPr="00627CEE">
              <w:t>droppers</w:t>
            </w:r>
          </w:p>
          <w:p w:rsidR="00000000" w:rsidRPr="00627CEE" w:rsidP="00627CEE">
            <w:pPr>
              <w:pStyle w:val="ListBullet2"/>
            </w:pPr>
            <w:r w:rsidRPr="00627CEE">
              <w:t>dissimilar conductors</w:t>
            </w:r>
          </w:p>
          <w:p w:rsidR="00000000" w:rsidRPr="00627CEE" w:rsidP="00627CEE">
            <w:pPr>
              <w:pStyle w:val="ListBullet2"/>
            </w:pPr>
            <w:r w:rsidRPr="00627CEE">
              <w:t>jumpers</w:t>
            </w:r>
          </w:p>
          <w:p w:rsidR="00000000" w:rsidRPr="00627CEE" w:rsidP="00627CEE">
            <w:pPr>
              <w:pStyle w:val="ListBullet2"/>
            </w:pPr>
            <w:r w:rsidRPr="00627CEE">
              <w:t>surge arresters</w:t>
            </w:r>
          </w:p>
          <w:p w:rsidR="00000000" w:rsidRPr="00627CEE" w:rsidP="00627CEE">
            <w:pPr>
              <w:pStyle w:val="ListBullet"/>
            </w:pPr>
            <w:r w:rsidRPr="00627CEE">
              <w:t>use of plant and equipment for maintenance work, such as:</w:t>
            </w:r>
          </w:p>
          <w:p w:rsidR="00000000" w:rsidRPr="00627CEE" w:rsidP="00627CEE">
            <w:pPr>
              <w:pStyle w:val="ListBullet2"/>
            </w:pPr>
            <w:r w:rsidRPr="00627CEE">
              <w:t xml:space="preserve">elevated work platforms (EWP) </w:t>
            </w:r>
          </w:p>
          <w:p w:rsidR="00000000" w:rsidRPr="00627CEE" w:rsidP="00627CEE">
            <w:pPr>
              <w:pStyle w:val="ListBullet2"/>
            </w:pPr>
            <w:r w:rsidRPr="00627CEE">
              <w:t>ladders</w:t>
            </w:r>
          </w:p>
          <w:p w:rsidR="00000000" w:rsidRPr="00627CEE" w:rsidP="00627CEE">
            <w:pPr>
              <w:pStyle w:val="ListBullet2"/>
            </w:pPr>
            <w:r w:rsidRPr="00627CEE">
              <w:t>works trains</w:t>
            </w:r>
          </w:p>
          <w:p w:rsidR="00000000" w:rsidRPr="00627CEE" w:rsidP="00627CEE">
            <w:pPr>
              <w:pStyle w:val="ListBullet2"/>
            </w:pPr>
            <w:r w:rsidRPr="00627CEE">
              <w:t>rail-mounted overhead wiring equipment/vehicles</w:t>
            </w:r>
          </w:p>
          <w:p w:rsidR="00000000" w:rsidRPr="00627CEE" w:rsidP="00627CEE">
            <w:pPr>
              <w:pStyle w:val="ListBullet2"/>
            </w:pPr>
            <w:r w:rsidRPr="00627CEE">
              <w:t>road/rail height access machinery/vehicles</w:t>
            </w:r>
          </w:p>
          <w:p w:rsidR="00000000" w:rsidRPr="00627CEE" w:rsidP="00627CEE">
            <w:pPr>
              <w:pStyle w:val="ListBullet2"/>
            </w:pPr>
            <w:r w:rsidRPr="00627CEE">
              <w:t>voltage detectors</w:t>
            </w:r>
          </w:p>
          <w:p w:rsidR="00000000" w:rsidRPr="00627CEE" w:rsidP="00627CEE">
            <w:pPr>
              <w:pStyle w:val="ListBullet2"/>
            </w:pPr>
            <w:r w:rsidRPr="00627CEE">
              <w:t>micrometer/gauges</w:t>
            </w:r>
          </w:p>
          <w:p w:rsidR="00000000" w:rsidRPr="00627CEE" w:rsidP="00627CEE">
            <w:pPr>
              <w:pStyle w:val="ListBullet2"/>
            </w:pPr>
            <w:r w:rsidRPr="00627CEE">
              <w:t>tension wrenches</w:t>
            </w:r>
          </w:p>
          <w:p w:rsidR="00000000" w:rsidRPr="00627CEE" w:rsidP="00627CEE">
            <w:pPr>
              <w:pStyle w:val="ListBullet2"/>
            </w:pPr>
            <w:r w:rsidRPr="00627CEE">
              <w:t>dynamometers</w:t>
            </w:r>
          </w:p>
          <w:p w:rsidR="00000000" w:rsidRPr="00627CEE" w:rsidP="00627CEE">
            <w:pPr>
              <w:pStyle w:val="ListBullet2"/>
            </w:pPr>
            <w:r w:rsidRPr="00627CEE">
              <w:t>other specialised tools</w:t>
            </w:r>
          </w:p>
          <w:p w:rsidR="00000000" w:rsidRPr="00627CEE" w:rsidP="00627CEE">
            <w:pPr>
              <w:pStyle w:val="ListBullet"/>
            </w:pPr>
            <w:r w:rsidRPr="00627CEE">
              <w:t>maintenance of overhead traction equipment and components, including:</w:t>
            </w:r>
          </w:p>
          <w:p w:rsidR="00000000" w:rsidRPr="00627CEE" w:rsidP="00627CEE">
            <w:pPr>
              <w:pStyle w:val="ListBullet2"/>
            </w:pPr>
            <w:r w:rsidRPr="00627CEE">
              <w:t>types of equipment and components</w:t>
            </w:r>
          </w:p>
          <w:p w:rsidR="00000000" w:rsidRPr="00627CEE" w:rsidP="00627CEE">
            <w:pPr>
              <w:pStyle w:val="ListBullet2"/>
            </w:pPr>
            <w:r w:rsidRPr="00627CEE">
              <w:t>types and function of tools and equipment</w:t>
            </w:r>
          </w:p>
          <w:p w:rsidR="00000000" w:rsidRPr="00627CEE" w:rsidP="00627CEE">
            <w:pPr>
              <w:pStyle w:val="ListBullet2"/>
            </w:pPr>
            <w:r w:rsidRPr="00627CEE">
              <w:t>maintenance/repair procedures</w:t>
            </w:r>
          </w:p>
          <w:p w:rsidR="00000000" w:rsidRPr="00627CEE" w:rsidP="00627CEE">
            <w:pPr>
              <w:pStyle w:val="ListBullet2"/>
            </w:pPr>
            <w:r w:rsidRPr="00627CEE">
              <w:t>inspection and recording procedures</w:t>
            </w:r>
          </w:p>
          <w:p w:rsidR="00000000" w:rsidRPr="00627CEE" w:rsidP="00627CEE">
            <w:pPr>
              <w:pStyle w:val="ListBullet"/>
            </w:pPr>
            <w:r w:rsidRPr="00627CEE">
              <w:t>diag</w:t>
            </w:r>
            <w:r w:rsidRPr="00627CEE">
              <w:t>nosis and correction of simple faults in specific overhead traction equipment and component, including:</w:t>
            </w:r>
          </w:p>
          <w:p w:rsidR="00000000" w:rsidRPr="00627CEE" w:rsidP="00627CEE">
            <w:pPr>
              <w:pStyle w:val="ListBullet2"/>
            </w:pPr>
            <w:r w:rsidRPr="00627CEE">
              <w:t>types and causes</w:t>
            </w:r>
          </w:p>
          <w:p w:rsidR="00000000" w:rsidRPr="00627CEE" w:rsidP="00627CEE">
            <w:pPr>
              <w:pStyle w:val="ListBullet2"/>
            </w:pPr>
            <w:r w:rsidRPr="00627CEE">
              <w:t>determination of appropriate corrective actions</w:t>
            </w:r>
          </w:p>
          <w:p w:rsidR="00000000" w:rsidRPr="00627CEE" w:rsidP="00627CEE">
            <w:pPr>
              <w:pStyle w:val="ListBullet"/>
            </w:pPr>
            <w:r w:rsidRPr="00627CEE">
              <w:t>repair and replace procedures for specific overhead traction equipment and components</w:t>
            </w:r>
            <w:r w:rsidRPr="00627CEE">
              <w:t>.</w:t>
            </w:r>
          </w:p>
        </w:tc>
      </w:tr>
    </w:tbl>
    <w:p w:rsidR="00000000" w:rsidRPr="00627CEE" w:rsidP="00627CEE">
      <w:pPr>
        <w:pStyle w:val="NoPaddingFontSize1"/>
      </w:pPr>
    </w:p>
    <w:p w:rsidR="00000000" w:rsidRPr="00627CEE" w:rsidP="00627CEE">
      <w:pPr>
        <w:pStyle w:val="AllowPageBreak"/>
      </w:pPr>
    </w:p>
    <w:p w:rsidR="00000000" w:rsidRPr="00627CEE" w:rsidP="00627CEE">
      <w:pPr>
        <w:pStyle w:val="Heading1"/>
      </w:pPr>
      <w:bookmarkStart w:id="4" w:name="O_1004239"/>
      <w:bookmarkEnd w:id="4"/>
      <w:r w:rsidRPr="00627C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EE" w:rsidP="00627CEE">
            <w:pPr>
              <w:pStyle w:val="BodyText"/>
            </w:pPr>
            <w:r w:rsidRPr="00627CEE">
              <w:t>Assessors must hold credentials specified within the Standards for Registered Training Organisations current at the time of assessment.</w:t>
            </w:r>
          </w:p>
          <w:p w:rsidR="00000000" w:rsidRPr="00627CEE" w:rsidP="00627CEE">
            <w:pPr>
              <w:pStyle w:val="BodyText"/>
            </w:pPr>
            <w:r w:rsidRPr="00627CE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27CEE" w:rsidP="00627CEE">
            <w:pPr>
              <w:pStyle w:val="BodyText"/>
            </w:pPr>
            <w:r w:rsidRPr="00627CEE">
              <w:t>Assessment must occur in workplace operational</w:t>
            </w:r>
            <w:r w:rsidRPr="00627CEE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627CEE" w:rsidP="00627CEE">
            <w:pPr>
              <w:pStyle w:val="BodyText"/>
            </w:pPr>
            <w:r w:rsidRPr="00627CEE">
              <w:t>Assessment processes and techniques mus</w:t>
            </w:r>
            <w:r w:rsidRPr="00627CEE">
              <w:t>t be appropriate to the language, literacy and numeracy requirements of the work being performed and the needs of the candidate.</w:t>
            </w:r>
          </w:p>
          <w:p w:rsidR="00000000" w:rsidRPr="00627CEE" w:rsidP="00627CEE">
            <w:pPr>
              <w:pStyle w:val="BodyText"/>
            </w:pPr>
            <w:r w:rsidRPr="00627CEE">
              <w:t>Resources for assessment must include access to:</w:t>
            </w:r>
          </w:p>
          <w:p w:rsidR="00000000" w:rsidRPr="00627CEE" w:rsidP="00627CEE">
            <w:pPr>
              <w:pStyle w:val="ListBullet"/>
            </w:pPr>
            <w:r w:rsidRPr="00627CEE">
              <w:t>a range of relevant exercises, case studies and/or other simulations</w:t>
            </w:r>
          </w:p>
          <w:p w:rsidR="00000000" w:rsidRPr="00627CEE" w:rsidP="00627CEE">
            <w:pPr>
              <w:pStyle w:val="ListBullet"/>
            </w:pPr>
            <w:r w:rsidRPr="00627CEE">
              <w:t>relevant</w:t>
            </w:r>
            <w:r w:rsidRPr="00627CEE">
              <w:t xml:space="preserve"> and appropriate materials, tools, facilities, equipment and PPE currently used in industry maintaining overhead traction components and equipment</w:t>
            </w:r>
          </w:p>
          <w:p w:rsidR="00000000" w:rsidRPr="00627CEE" w:rsidP="00627CEE">
            <w:pPr>
              <w:pStyle w:val="ListBullet"/>
            </w:pPr>
            <w:r w:rsidRPr="00627CEE">
              <w:t>applicable documentation, including workplace procedures, relevant industry standards, equipment specificatio</w:t>
            </w:r>
            <w:r w:rsidRPr="00627CEE">
              <w:t>ns, regulations, codes of practice and operation manuals.</w:t>
            </w:r>
          </w:p>
        </w:tc>
      </w:tr>
    </w:tbl>
    <w:p w:rsidR="00000000" w:rsidRPr="00627CEE" w:rsidP="00627CEE">
      <w:pPr>
        <w:pStyle w:val="NoPaddingFontSize1"/>
      </w:pPr>
    </w:p>
    <w:p w:rsidR="00000000" w:rsidRPr="00627CEE" w:rsidP="00627CEE">
      <w:pPr>
        <w:pStyle w:val="AllowPageBreak"/>
      </w:pPr>
    </w:p>
    <w:p w:rsidR="00000000" w:rsidRPr="00627CEE" w:rsidP="00627CEE">
      <w:pPr>
        <w:pStyle w:val="Heading1"/>
      </w:pPr>
      <w:bookmarkStart w:id="5" w:name="O_1004242"/>
      <w:bookmarkEnd w:id="5"/>
      <w:r w:rsidRPr="00627CEE">
        <w:t>Links</w:t>
      </w:r>
    </w:p>
    <w:p w:rsidR="00000000" w:rsidRPr="00627CEE" w:rsidP="00AB4F47">
      <w:pPr>
        <w:pStyle w:val="BodyText"/>
      </w:pPr>
      <w:r w:rsidRPr="00627CE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273C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27CEE" w:rsidP="00627CEE"/>
    <w:sectPr w:rsidSect="00627C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E" w:rsidRPr="00AB4F47" w:rsidP="00AB4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47" w:rsidP="00627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F47" w:rsidP="00627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B4F47" w:rsidP="00627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CEE" w:rsidRPr="00AB4F47" w:rsidP="00AB4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47" w:rsidRPr="002D2AF8" w:rsidP="00627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UETTDRRT28 Maintain overhead traction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B4F47" w:rsidP="00627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4CA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2A8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14B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CEE"/>
  </w:style>
  <w:style w:type="character" w:customStyle="1" w:styleId="Heading1Char">
    <w:name w:val="Heading 1 Char"/>
    <w:basedOn w:val="DefaultParagraphFont"/>
    <w:link w:val="Heading1"/>
    <w:rsid w:val="00627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C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C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7C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7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C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C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7CEE"/>
    <w:rPr>
      <w:b/>
      <w:spacing w:val="0"/>
    </w:rPr>
  </w:style>
  <w:style w:type="paragraph" w:customStyle="1" w:styleId="SuperTitle">
    <w:name w:val="SuperTitle"/>
    <w:basedOn w:val="Title"/>
    <w:rsid w:val="00627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CEE"/>
    <w:rPr>
      <w:i/>
    </w:rPr>
  </w:style>
  <w:style w:type="paragraph" w:styleId="Caption">
    <w:name w:val="caption"/>
    <w:basedOn w:val="BodyText"/>
    <w:next w:val="Normal"/>
    <w:qFormat/>
    <w:rsid w:val="00627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CEE"/>
  </w:style>
  <w:style w:type="paragraph" w:styleId="TableofFigures">
    <w:name w:val="table of figures"/>
    <w:basedOn w:val="Normal"/>
    <w:next w:val="Normal"/>
    <w:semiHidden/>
    <w:rsid w:val="00627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C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CEE"/>
    <w:rPr>
      <w:rFonts w:ascii="Wingdings" w:hAnsi="Wingdings"/>
    </w:rPr>
  </w:style>
  <w:style w:type="paragraph" w:customStyle="1" w:styleId="TableHeading">
    <w:name w:val="Table Heading"/>
    <w:basedOn w:val="HeadingBase"/>
    <w:rsid w:val="00627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CEE"/>
    <w:rPr>
      <w:color w:val="0033CC"/>
      <w:u w:val="none"/>
    </w:rPr>
  </w:style>
  <w:style w:type="paragraph" w:customStyle="1" w:styleId="BodyTextRight">
    <w:name w:val="Body Text Right"/>
    <w:basedOn w:val="BodyText"/>
    <w:rsid w:val="00627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C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CEE"/>
    <w:rPr>
      <w:sz w:val="32"/>
    </w:rPr>
  </w:style>
  <w:style w:type="paragraph" w:customStyle="1" w:styleId="HeadingProcedure">
    <w:name w:val="Heading Procedure"/>
    <w:basedOn w:val="HeadingBase"/>
    <w:next w:val="Normal"/>
    <w:rsid w:val="00627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CEE"/>
    <w:pPr>
      <w:spacing w:before="60" w:after="60"/>
    </w:pPr>
  </w:style>
  <w:style w:type="paragraph" w:styleId="ListContinue">
    <w:name w:val="List Continue"/>
    <w:basedOn w:val="List"/>
    <w:rsid w:val="00627CEE"/>
    <w:pPr>
      <w:ind w:firstLine="0"/>
    </w:pPr>
  </w:style>
  <w:style w:type="paragraph" w:customStyle="1" w:styleId="ListNote">
    <w:name w:val="List Note"/>
    <w:basedOn w:val="List"/>
    <w:rsid w:val="00627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CEE"/>
    <w:rPr>
      <w:rFonts w:ascii="Courier New" w:hAnsi="Courier New"/>
    </w:rPr>
  </w:style>
  <w:style w:type="paragraph" w:customStyle="1" w:styleId="NoteBullet">
    <w:name w:val="Note Bullet"/>
    <w:basedOn w:val="Note"/>
    <w:rsid w:val="00627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C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CEE"/>
    <w:rPr>
      <w:b/>
      <w:smallCaps/>
    </w:rPr>
  </w:style>
  <w:style w:type="paragraph" w:customStyle="1" w:styleId="TableListNumber">
    <w:name w:val="Table List Number"/>
    <w:basedOn w:val="ListNumber"/>
    <w:rsid w:val="00627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CEE"/>
    <w:pPr>
      <w:numPr>
        <w:numId w:val="9"/>
      </w:numPr>
    </w:pPr>
  </w:style>
  <w:style w:type="paragraph" w:customStyle="1" w:styleId="ListAlpha2">
    <w:name w:val="List Alpha 2"/>
    <w:basedOn w:val="List2"/>
    <w:rsid w:val="00627CEE"/>
    <w:pPr>
      <w:numPr>
        <w:numId w:val="8"/>
      </w:numPr>
    </w:pPr>
  </w:style>
  <w:style w:type="paragraph" w:styleId="List2">
    <w:name w:val="List 2"/>
    <w:basedOn w:val="BodyText"/>
    <w:rsid w:val="00627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C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C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CEE"/>
    <w:pPr>
      <w:numPr>
        <w:numId w:val="4"/>
      </w:numPr>
    </w:pPr>
  </w:style>
  <w:style w:type="paragraph" w:styleId="ListContinue2">
    <w:name w:val="List Continue 2"/>
    <w:basedOn w:val="List2"/>
    <w:rsid w:val="00627CEE"/>
    <w:pPr>
      <w:ind w:firstLine="0"/>
    </w:pPr>
  </w:style>
  <w:style w:type="paragraph" w:styleId="ListContinue3">
    <w:name w:val="List Continue 3"/>
    <w:basedOn w:val="List3"/>
    <w:rsid w:val="00627CEE"/>
    <w:pPr>
      <w:ind w:left="1021" w:firstLine="0"/>
    </w:pPr>
  </w:style>
  <w:style w:type="paragraph" w:styleId="ListContinue4">
    <w:name w:val="List Continue 4"/>
    <w:basedOn w:val="List4"/>
    <w:rsid w:val="00627CEE"/>
    <w:pPr>
      <w:ind w:firstLine="0"/>
    </w:pPr>
  </w:style>
  <w:style w:type="paragraph" w:styleId="ListContinue5">
    <w:name w:val="List Continue 5"/>
    <w:basedOn w:val="List5"/>
    <w:rsid w:val="00627CEE"/>
    <w:pPr>
      <w:ind w:firstLine="0"/>
    </w:pPr>
  </w:style>
  <w:style w:type="paragraph" w:styleId="ListNumber3">
    <w:name w:val="List Number 3"/>
    <w:basedOn w:val="List3"/>
    <w:rsid w:val="00627CEE"/>
    <w:pPr>
      <w:numPr>
        <w:numId w:val="5"/>
      </w:numPr>
    </w:pPr>
  </w:style>
  <w:style w:type="paragraph" w:styleId="ListNumber4">
    <w:name w:val="List Number 4"/>
    <w:basedOn w:val="List4"/>
    <w:rsid w:val="00627CEE"/>
    <w:pPr>
      <w:numPr>
        <w:numId w:val="6"/>
      </w:numPr>
    </w:pPr>
  </w:style>
  <w:style w:type="paragraph" w:styleId="ListNumber5">
    <w:name w:val="List Number 5"/>
    <w:basedOn w:val="List5"/>
    <w:rsid w:val="00627CEE"/>
    <w:pPr>
      <w:numPr>
        <w:numId w:val="7"/>
      </w:numPr>
    </w:pPr>
  </w:style>
  <w:style w:type="paragraph" w:styleId="BlockText">
    <w:name w:val="Block Text"/>
    <w:basedOn w:val="Normal"/>
    <w:rsid w:val="00627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CEE"/>
    <w:rPr>
      <w:sz w:val="16"/>
      <w:vertAlign w:val="superscript"/>
    </w:rPr>
  </w:style>
  <w:style w:type="character" w:customStyle="1" w:styleId="Symbols">
    <w:name w:val="Symbols"/>
    <w:basedOn w:val="DefaultParagraphFont"/>
    <w:rsid w:val="00627CEE"/>
    <w:rPr>
      <w:rFonts w:ascii="Symbol" w:hAnsi="Symbol"/>
    </w:rPr>
  </w:style>
  <w:style w:type="character" w:customStyle="1" w:styleId="MenuOptions">
    <w:name w:val="Menu Options"/>
    <w:basedOn w:val="DefaultParagraphFont"/>
    <w:rsid w:val="00627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CEE"/>
    <w:rPr>
      <w:b/>
    </w:rPr>
  </w:style>
  <w:style w:type="character" w:customStyle="1" w:styleId="Underlined">
    <w:name w:val="Underlined"/>
    <w:basedOn w:val="DefaultParagraphFont"/>
    <w:rsid w:val="00627CEE"/>
    <w:rPr>
      <w:u w:val="single"/>
    </w:rPr>
  </w:style>
  <w:style w:type="paragraph" w:customStyle="1" w:styleId="TableBodyTextRight">
    <w:name w:val="Table Body Text Right"/>
    <w:basedOn w:val="TableBodyText"/>
    <w:rsid w:val="00627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CEE"/>
    <w:rPr>
      <w:sz w:val="18"/>
    </w:rPr>
  </w:style>
  <w:style w:type="paragraph" w:customStyle="1" w:styleId="BodySmallRight">
    <w:name w:val="Body Small Right"/>
    <w:basedOn w:val="BodyTextRight"/>
    <w:rsid w:val="00627CEE"/>
    <w:rPr>
      <w:sz w:val="18"/>
      <w:szCs w:val="18"/>
    </w:rPr>
  </w:style>
  <w:style w:type="paragraph" w:customStyle="1" w:styleId="MarginEdition">
    <w:name w:val="Margin Edition"/>
    <w:basedOn w:val="MarginNote"/>
    <w:rsid w:val="00627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CEE"/>
    <w:rPr>
      <w:sz w:val="2"/>
      <w:szCs w:val="2"/>
    </w:rPr>
  </w:style>
  <w:style w:type="character" w:customStyle="1" w:styleId="Small">
    <w:name w:val="Small"/>
    <w:basedOn w:val="DefaultParagraphFont"/>
    <w:rsid w:val="00627CEE"/>
    <w:rPr>
      <w:sz w:val="16"/>
    </w:rPr>
  </w:style>
  <w:style w:type="paragraph" w:customStyle="1" w:styleId="WideTable">
    <w:name w:val="Wide Table"/>
    <w:basedOn w:val="Normal"/>
    <w:rsid w:val="00627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CEE"/>
  </w:style>
  <w:style w:type="paragraph" w:styleId="Quote">
    <w:name w:val="Quote"/>
    <w:basedOn w:val="Heading1"/>
    <w:link w:val="QuoteChar"/>
    <w:qFormat/>
    <w:rsid w:val="00627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CEE"/>
    <w:pPr>
      <w:pageBreakBefore/>
    </w:pPr>
  </w:style>
  <w:style w:type="paragraph" w:customStyle="1" w:styleId="Border">
    <w:name w:val="Border"/>
    <w:basedOn w:val="Normal"/>
    <w:qFormat/>
    <w:rsid w:val="00627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CEE"/>
    <w:rPr>
      <w:u w:val="single"/>
    </w:rPr>
  </w:style>
  <w:style w:type="character" w:customStyle="1" w:styleId="BoldandItalics">
    <w:name w:val="Bold and Italics"/>
    <w:qFormat/>
    <w:rsid w:val="00627CEE"/>
    <w:rPr>
      <w:b/>
      <w:i/>
      <w:u w:val="none"/>
    </w:rPr>
  </w:style>
  <w:style w:type="paragraph" w:styleId="BalloonText">
    <w:name w:val="Balloon Text"/>
    <w:basedOn w:val="Normal"/>
    <w:link w:val="BalloonTextChar"/>
    <w:rsid w:val="00627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CEE"/>
    <w:pPr>
      <w:spacing w:before="0" w:after="0"/>
    </w:pPr>
  </w:style>
  <w:style w:type="paragraph" w:customStyle="1" w:styleId="BodyTextBold">
    <w:name w:val="Body Text Bold"/>
    <w:basedOn w:val="BodyText"/>
    <w:qFormat/>
    <w:rsid w:val="00627CEE"/>
    <w:rPr>
      <w:b/>
    </w:rPr>
  </w:style>
  <w:style w:type="character" w:styleId="Hyperlink">
    <w:name w:val="Hyperlink"/>
    <w:basedOn w:val="DefaultParagraphFont"/>
    <w:uiPriority w:val="99"/>
    <w:unhideWhenUsed/>
    <w:rsid w:val="00AB4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4686</Characters>
  <Application>Microsoft Office Word</Application>
  <DocSecurity>0</DocSecurity>
  <Lines>137</Lines>
  <Paragraphs>116</Paragraphs>
  <ScaleCrop>false</ScaleCrop>
  <Company>Author-it Software Corporation Ltd.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UETTDRRT28 Maintain overhead traction components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