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2BAE" w:rsidP="00BD2BAE">
      <w:pPr>
        <w:pStyle w:val="Title"/>
      </w:pPr>
      <w:r>
        <w:fldChar w:fldCharType="begin"/>
      </w:r>
      <w:r>
        <w:instrText xml:space="preserve"> TITLE   \* MERGEFORMAT </w:instrText>
      </w:r>
      <w:r>
        <w:fldChar w:fldCharType="separate"/>
      </w:r>
      <w:r>
        <w:t>UETTDRIS70 Diagnose and rectify faults in electrical energy distribution systems</w:t>
      </w:r>
      <w:r>
        <w:fldChar w:fldCharType="end"/>
      </w:r>
    </w:p>
    <w:p w:rsidR="00BD2BAE" w:rsidP="00BD2BAE">
      <w:pPr>
        <w:pStyle w:val="Version"/>
        <w:sectPr w:rsidSect="00526D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6DFA" w:rsidP="00526DFA">
      <w:pPr>
        <w:pStyle w:val="SuperHeading"/>
      </w:pPr>
      <w:r w:rsidRPr="00526DFA">
        <w:t>UETTDRIS70 Diagnose and rectify faults in electrical energy distribution systems</w:t>
      </w:r>
    </w:p>
    <w:p w:rsidR="00000000" w:rsidRPr="00526DFA" w:rsidP="00526DFA">
      <w:pPr>
        <w:pStyle w:val="Heading1"/>
      </w:pPr>
      <w:bookmarkStart w:id="1" w:name="O_1003725"/>
      <w:bookmarkEnd w:id="1"/>
      <w:r w:rsidRPr="00526DFA">
        <w:t>Modification History</w:t>
      </w:r>
    </w:p>
    <w:tbl>
      <w:tblPr>
        <w:tblW w:w="9497" w:type="dxa"/>
        <w:tblLayout w:type="fixed"/>
        <w:tblCellMar>
          <w:left w:w="62" w:type="dxa"/>
          <w:right w:w="62" w:type="dxa"/>
        </w:tblCellMar>
        <w:tblLook w:val="0000"/>
      </w:tblPr>
      <w:tblGrid>
        <w:gridCol w:w="9497"/>
      </w:tblGrid>
      <w:tr w:rsidTr="00526D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6DFA" w:rsidP="00526DFA">
            <w:pPr>
              <w:pStyle w:val="BodyText"/>
            </w:pPr>
            <w:r w:rsidRPr="00526DFA">
              <w:t>Release 1. This is the first release of this unit of competency in the UET Transmission, Distribution and Rail Sector Training Package.</w:t>
            </w:r>
          </w:p>
        </w:tc>
      </w:tr>
    </w:tbl>
    <w:p w:rsidR="00000000" w:rsidRPr="00526DFA" w:rsidP="00526DFA">
      <w:pPr>
        <w:pStyle w:val="NoPaddingFontSize1"/>
      </w:pPr>
    </w:p>
    <w:p w:rsidR="00000000" w:rsidRPr="00526DFA" w:rsidP="00526DFA">
      <w:pPr>
        <w:pStyle w:val="AllowPageBreak"/>
      </w:pPr>
    </w:p>
    <w:p w:rsidR="00000000" w:rsidRPr="00526DFA" w:rsidP="00526DFA">
      <w:pPr>
        <w:pStyle w:val="Heading1"/>
      </w:pPr>
      <w:bookmarkStart w:id="2" w:name="O_1003726"/>
      <w:bookmarkEnd w:id="2"/>
      <w:r w:rsidRPr="00526DFA">
        <w:t>Application</w:t>
      </w:r>
    </w:p>
    <w:tbl>
      <w:tblPr>
        <w:tblW w:w="9497" w:type="dxa"/>
        <w:tblLayout w:type="fixed"/>
        <w:tblCellMar>
          <w:left w:w="62" w:type="dxa"/>
          <w:right w:w="62" w:type="dxa"/>
        </w:tblCellMar>
        <w:tblLook w:val="0000"/>
      </w:tblPr>
      <w:tblGrid>
        <w:gridCol w:w="9497"/>
      </w:tblGrid>
      <w:tr w:rsidTr="00526D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6DFA" w:rsidP="00526DFA">
            <w:pPr>
              <w:pStyle w:val="BodyText"/>
            </w:pPr>
            <w:r w:rsidRPr="00526DFA">
              <w:t>This unit covers diagnosing and rectifying faults in networks supplying electrical energy to consumers. The unit encompasses safe working practices, interpreting diagrams and technical data, applying knowledge of energy su</w:t>
            </w:r>
            <w:r w:rsidRPr="00526DFA">
              <w:t>pply and reticulation systems to logical fault-finding processes, implementing fault rectification, safety and functional testing and reporting work activities and outcomes.</w:t>
            </w:r>
          </w:p>
          <w:p w:rsidR="00000000" w:rsidRPr="00526DFA" w:rsidP="00526DFA">
            <w:pPr>
              <w:pStyle w:val="BodyText"/>
            </w:pPr>
            <w:r w:rsidRPr="00526DFA">
              <w:t>The application of the skills and knowledge described in this unit requires a lice</w:t>
            </w:r>
            <w:r w:rsidRPr="00526DFA">
              <w:t xml:space="preserve">nce/registration to practice in the workplace subject to regulations for undertaking of electrical work.  </w:t>
            </w:r>
          </w:p>
          <w:p w:rsidR="00000000" w:rsidRPr="00526DFA" w:rsidP="00526DFA">
            <w:pPr>
              <w:pStyle w:val="BodyText"/>
            </w:pPr>
            <w:r w:rsidRPr="00526DFA">
              <w:t>Other conditions may apply under state and territory legislative and regulatory licencing requirements which must be confirmed prior to commencing th</w:t>
            </w:r>
            <w:r w:rsidRPr="00526DFA">
              <w:t>is unit.</w:t>
            </w:r>
          </w:p>
        </w:tc>
      </w:tr>
    </w:tbl>
    <w:p w:rsidR="00000000" w:rsidRPr="00526DFA" w:rsidP="00526DFA">
      <w:pPr>
        <w:pStyle w:val="NoPaddingFontSize1"/>
      </w:pPr>
    </w:p>
    <w:p w:rsidR="00000000" w:rsidRPr="00526DFA" w:rsidP="00526DFA">
      <w:pPr>
        <w:pStyle w:val="AllowPageBreak"/>
      </w:pPr>
    </w:p>
    <w:p w:rsidR="00000000" w:rsidRPr="00526DFA" w:rsidP="00526DFA">
      <w:pPr>
        <w:pStyle w:val="Heading1"/>
      </w:pPr>
      <w:bookmarkStart w:id="3" w:name="O_1003727"/>
      <w:bookmarkEnd w:id="3"/>
      <w:r w:rsidRPr="00526DFA">
        <w:t>Pre-requisite Unit</w:t>
      </w:r>
    </w:p>
    <w:tbl>
      <w:tblPr>
        <w:tblW w:w="9497" w:type="dxa"/>
        <w:tblLayout w:type="fixed"/>
        <w:tblCellMar>
          <w:left w:w="62" w:type="dxa"/>
          <w:right w:w="62" w:type="dxa"/>
        </w:tblCellMar>
        <w:tblLook w:val="0000"/>
      </w:tblPr>
      <w:tblGrid>
        <w:gridCol w:w="9497"/>
      </w:tblGrid>
      <w:tr w:rsidTr="00526D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6DFA" w:rsidP="00526DFA">
            <w:pPr>
              <w:pStyle w:val="BodyText"/>
            </w:pPr>
            <w:r w:rsidRPr="00526DFA">
              <w:t>Common Unit Group</w:t>
            </w:r>
          </w:p>
          <w:p w:rsidR="00000000" w:rsidRPr="00526DFA" w:rsidP="00526DFA">
            <w:pPr>
              <w:pStyle w:val="BodyText"/>
            </w:pPr>
            <w:r w:rsidRPr="00526DFA">
              <w:t>UEENEEE101A Apply Occupational Health and Safety regulations, codes and practices in the workplace</w:t>
            </w:r>
          </w:p>
          <w:p w:rsidR="00000000" w:rsidRPr="00526DFA" w:rsidP="00526DFA">
            <w:pPr>
              <w:pStyle w:val="BodyText"/>
            </w:pPr>
            <w:r w:rsidRPr="00526DFA">
              <w:t>UEENEEE102A Fabricate, assemble and dismantle utilities industry components</w:t>
            </w:r>
          </w:p>
          <w:p w:rsidR="00000000" w:rsidRPr="00526DFA" w:rsidP="00526DFA">
            <w:pPr>
              <w:pStyle w:val="BodyText"/>
            </w:pPr>
            <w:r w:rsidRPr="00526DFA">
              <w:t>UEENEEE104A So</w:t>
            </w:r>
            <w:r w:rsidRPr="00526DFA">
              <w:t>lve problems in d.c. circuits</w:t>
            </w:r>
          </w:p>
          <w:p w:rsidR="00000000" w:rsidRPr="00526DFA" w:rsidP="00526DFA">
            <w:pPr>
              <w:pStyle w:val="BodyText"/>
            </w:pPr>
            <w:r w:rsidRPr="00526DFA">
              <w:t>UEENEEE105A Fix and secure electrotechnology equipment</w:t>
            </w:r>
          </w:p>
          <w:p w:rsidR="00000000" w:rsidRPr="00526DFA" w:rsidP="00526DFA">
            <w:pPr>
              <w:pStyle w:val="BodyText"/>
            </w:pPr>
            <w:r w:rsidRPr="00526DFA">
              <w:t>UEENEEE107A Use drawings, diagrams, schedules, standards, codes and specifications</w:t>
            </w:r>
          </w:p>
          <w:p w:rsidR="00000000" w:rsidRPr="00526DFA" w:rsidP="00526DFA">
            <w:pPr>
              <w:pStyle w:val="BodyText"/>
            </w:pPr>
            <w:r w:rsidRPr="00526DFA">
              <w:t>UEENEEG101A Solve problems in electromagnetic devices and related circuits</w:t>
            </w:r>
          </w:p>
          <w:p w:rsidR="00000000" w:rsidRPr="00526DFA" w:rsidP="00526DFA">
            <w:pPr>
              <w:pStyle w:val="BodyText"/>
            </w:pPr>
            <w:r w:rsidRPr="00526DFA">
              <w:t>UEENEEG102A S</w:t>
            </w:r>
            <w:r w:rsidRPr="00526DFA">
              <w:t>olve problems in low voltage a.c. circuits</w:t>
            </w:r>
          </w:p>
          <w:p w:rsidR="00000000" w:rsidRPr="00526DFA" w:rsidP="00526DFA">
            <w:pPr>
              <w:pStyle w:val="BodyText"/>
            </w:pPr>
            <w:r w:rsidRPr="00526DFA">
              <w:t>UEENEEG006A Solve problems in single and three phase low voltage machines</w:t>
            </w:r>
          </w:p>
          <w:p w:rsidR="00000000" w:rsidRPr="00526DFA" w:rsidP="00526DFA">
            <w:pPr>
              <w:pStyle w:val="BodyText"/>
            </w:pPr>
            <w:r w:rsidRPr="00526DFA">
              <w:t>UEENEEG106A Terminate cables, cords and accessories for low voltage circuits</w:t>
            </w:r>
          </w:p>
          <w:p w:rsidR="00000000" w:rsidRPr="00526DFA" w:rsidP="00526DFA">
            <w:pPr>
              <w:pStyle w:val="BodyText"/>
            </w:pPr>
            <w:r w:rsidRPr="00526DFA">
              <w:t>UETTDRIS67 Solve problems in energy supply network equipment</w:t>
            </w:r>
          </w:p>
          <w:p w:rsidR="00000000" w:rsidRPr="00526DFA" w:rsidP="00526DFA">
            <w:pPr>
              <w:pStyle w:val="BodyText"/>
            </w:pPr>
            <w:r w:rsidRPr="00526DFA">
              <w:t>UETTDRIS68 Solve problems in energy supply network protection equipment and systems</w:t>
            </w:r>
          </w:p>
          <w:p w:rsidR="00000000" w:rsidRPr="00526DFA" w:rsidP="00526DFA">
            <w:pPr>
              <w:pStyle w:val="BodyText"/>
            </w:pPr>
            <w:r w:rsidRPr="00526DFA">
              <w:t>UETTDRIS69 Diagnose and rectify faults in energy supply apparatus</w:t>
            </w:r>
          </w:p>
        </w:tc>
      </w:tr>
    </w:tbl>
    <w:p w:rsidR="00000000" w:rsidRPr="00526DFA" w:rsidP="00526DFA">
      <w:pPr>
        <w:pStyle w:val="NoPaddingFontSize1"/>
      </w:pPr>
    </w:p>
    <w:p w:rsidR="00000000" w:rsidRPr="00526DFA" w:rsidP="00526DFA">
      <w:pPr>
        <w:pStyle w:val="AllowPageBreak"/>
      </w:pPr>
    </w:p>
    <w:p w:rsidR="00000000" w:rsidRPr="00526DFA" w:rsidP="00526DFA">
      <w:pPr>
        <w:pStyle w:val="Heading1"/>
      </w:pPr>
      <w:bookmarkStart w:id="4" w:name="O_1003728"/>
      <w:bookmarkEnd w:id="4"/>
      <w:r w:rsidRPr="00526DFA">
        <w:t>Competency Field</w:t>
      </w:r>
    </w:p>
    <w:tbl>
      <w:tblPr>
        <w:tblW w:w="9497" w:type="dxa"/>
        <w:tblLayout w:type="fixed"/>
        <w:tblCellMar>
          <w:left w:w="62" w:type="dxa"/>
          <w:right w:w="62" w:type="dxa"/>
        </w:tblCellMar>
        <w:tblLook w:val="0000"/>
      </w:tblPr>
      <w:tblGrid>
        <w:gridCol w:w="9497"/>
      </w:tblGrid>
      <w:tr w:rsidTr="00526D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6DFA" w:rsidP="00526DFA">
            <w:pPr>
              <w:pStyle w:val="BodyText"/>
            </w:pPr>
            <w:r w:rsidRPr="00526DFA">
              <w:t>Industry Specific Cross Discipline</w:t>
            </w:r>
          </w:p>
        </w:tc>
      </w:tr>
    </w:tbl>
    <w:p w:rsidR="00000000" w:rsidRPr="00526DFA" w:rsidP="00526DFA">
      <w:pPr>
        <w:pStyle w:val="NoPaddingFontSize1"/>
      </w:pPr>
    </w:p>
    <w:p w:rsidR="00000000" w:rsidRPr="00526DFA" w:rsidP="00526DFA">
      <w:pPr>
        <w:pStyle w:val="AllowPageBreak"/>
      </w:pPr>
    </w:p>
    <w:p w:rsidR="00000000" w:rsidRPr="00526DFA" w:rsidP="00526DFA">
      <w:pPr>
        <w:pStyle w:val="Heading1"/>
      </w:pPr>
      <w:bookmarkStart w:id="5" w:name="O_1003729"/>
      <w:bookmarkEnd w:id="5"/>
      <w:r w:rsidRPr="00526DFA">
        <w:t>Unit Sector</w:t>
      </w:r>
    </w:p>
    <w:tbl>
      <w:tblPr>
        <w:tblW w:w="9497" w:type="dxa"/>
        <w:tblLayout w:type="fixed"/>
        <w:tblCellMar>
          <w:left w:w="62" w:type="dxa"/>
          <w:right w:w="62" w:type="dxa"/>
        </w:tblCellMar>
        <w:tblLook w:val="0000"/>
      </w:tblPr>
      <w:tblGrid>
        <w:gridCol w:w="9497"/>
      </w:tblGrid>
      <w:tr w:rsidTr="00526D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6DFA" w:rsidP="00526DFA">
            <w:pPr>
              <w:pStyle w:val="BodyText"/>
            </w:pPr>
            <w:r w:rsidRPr="00526DFA">
              <w:t>Not applicable.</w:t>
            </w:r>
          </w:p>
        </w:tc>
      </w:tr>
    </w:tbl>
    <w:p w:rsidR="00000000" w:rsidRPr="00526DFA" w:rsidP="00526DFA">
      <w:pPr>
        <w:pStyle w:val="NoPaddingFontSize1"/>
      </w:pPr>
    </w:p>
    <w:p w:rsidR="00000000" w:rsidRPr="00526DFA" w:rsidP="00526DFA">
      <w:pPr>
        <w:pStyle w:val="AllowPageBreak"/>
      </w:pPr>
    </w:p>
    <w:p w:rsidR="00000000" w:rsidRPr="00526DFA" w:rsidP="00526DFA">
      <w:pPr>
        <w:pStyle w:val="Heading1"/>
      </w:pPr>
      <w:bookmarkStart w:id="6" w:name="O_1003730"/>
      <w:bookmarkEnd w:id="6"/>
      <w:r w:rsidRPr="00526DF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26DF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26DFA" w:rsidP="00526DFA">
            <w:pPr>
              <w:pStyle w:val="BodyText"/>
            </w:pPr>
            <w:r w:rsidRPr="00526DF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26DFA">
            <w:pPr>
              <w:pStyle w:val="BodyText"/>
              <w:rPr>
                <w:lang w:val="en-NZ"/>
              </w:rPr>
            </w:pPr>
            <w:r w:rsidRPr="00526DFA">
              <w:rPr>
                <w:rStyle w:val="SpecialBold"/>
              </w:rPr>
              <w:t>PERFORMANCE CRITERIA</w:t>
            </w:r>
          </w:p>
        </w:tc>
      </w:tr>
      <w:tr w:rsidTr="00526DF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26DFA">
            <w:pPr>
              <w:pStyle w:val="BodyText"/>
              <w:rPr>
                <w:lang w:val="en-NZ"/>
              </w:rPr>
            </w:pPr>
            <w:r w:rsidRPr="00526DF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26DFA">
            <w:pPr>
              <w:pStyle w:val="BodyText"/>
              <w:rPr>
                <w:lang w:val="en-NZ"/>
              </w:rPr>
            </w:pPr>
            <w:r w:rsidRPr="00526DFA">
              <w:t>Performance criteria describe the performance needed to demonstrate achievement of the element.</w:t>
            </w:r>
          </w:p>
        </w:tc>
      </w:tr>
      <w:tr w:rsidTr="00526D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26DFA" w:rsidP="00526DFA">
            <w:pPr>
              <w:pStyle w:val="BodyText"/>
            </w:pPr>
            <w:r w:rsidRPr="00526DF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26DFA" w:rsidP="00526DFA">
            <w:pPr>
              <w:pStyle w:val="BodyText"/>
            </w:pPr>
            <w:r w:rsidRPr="00526DFA">
              <w:rPr>
                <w:rStyle w:val="SpecialBold"/>
              </w:rPr>
              <w:t>Prepare to diagnose and rectify faults</w:t>
            </w:r>
          </w:p>
        </w:tc>
        <w:tc>
          <w:tcPr>
            <w:tcW w:w="697" w:type="dxa"/>
            <w:tcBorders>
              <w:top w:val="nil"/>
              <w:left w:val="nil"/>
              <w:bottom w:val="nil"/>
              <w:right w:val="nil"/>
            </w:tcBorders>
            <w:tcMar>
              <w:top w:w="0" w:type="dxa"/>
              <w:left w:w="62" w:type="dxa"/>
              <w:bottom w:w="0" w:type="dxa"/>
              <w:right w:w="62" w:type="dxa"/>
            </w:tcMar>
          </w:tcPr>
          <w:p w:rsidR="00000000" w:rsidP="00526DFA">
            <w:pPr>
              <w:pStyle w:val="BodyText"/>
              <w:rPr>
                <w:lang w:val="en-NZ"/>
              </w:rPr>
            </w:pPr>
            <w:r w:rsidRPr="00526DF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26DFA">
            <w:pPr>
              <w:pStyle w:val="BodyText"/>
              <w:rPr>
                <w:lang w:val="en-NZ"/>
              </w:rPr>
            </w:pPr>
            <w:r w:rsidRPr="00526DFA">
              <w:t>Work health and safety (WHS)/occupational health and safety (OHS) procedures for a given work area are identified, obtained and understood</w:t>
            </w:r>
          </w:p>
        </w:tc>
      </w:tr>
      <w:tr w:rsidTr="00526D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6D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6DFA">
            <w:pPr>
              <w:pStyle w:val="BodyText"/>
              <w:rPr>
                <w:lang w:val="en-NZ"/>
              </w:rPr>
            </w:pPr>
            <w:r w:rsidRPr="00526DF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26DFA">
            <w:pPr>
              <w:pStyle w:val="BodyText"/>
              <w:rPr>
                <w:lang w:val="en-NZ"/>
              </w:rPr>
            </w:pPr>
            <w:r w:rsidRPr="00526DFA">
              <w:t>Established WHS/OHS risk control measures and procedures in preparation for the work are followed</w:t>
            </w:r>
          </w:p>
        </w:tc>
      </w:tr>
      <w:tr w:rsidTr="00526D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6D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6DFA">
            <w:pPr>
              <w:pStyle w:val="BodyText"/>
              <w:rPr>
                <w:lang w:val="en-NZ"/>
              </w:rPr>
            </w:pPr>
            <w:r w:rsidRPr="00526DF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26DFA">
            <w:pPr>
              <w:pStyle w:val="BodyText"/>
              <w:rPr>
                <w:lang w:val="en-NZ"/>
              </w:rPr>
            </w:pPr>
            <w:r w:rsidRPr="00526DFA">
              <w:t>Safety hazards which have not previously been identified are documented and risk control measures devised and implemented in consultation with appropri</w:t>
            </w:r>
            <w:r w:rsidRPr="00526DFA">
              <w:t>ate personnel</w:t>
            </w:r>
          </w:p>
        </w:tc>
      </w:tr>
      <w:tr w:rsidTr="00526D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6D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6DFA">
            <w:pPr>
              <w:pStyle w:val="BodyText"/>
              <w:rPr>
                <w:lang w:val="en-NZ"/>
              </w:rPr>
            </w:pPr>
            <w:r w:rsidRPr="00526DF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26DFA">
            <w:pPr>
              <w:pStyle w:val="BodyText"/>
              <w:rPr>
                <w:lang w:val="en-NZ"/>
              </w:rPr>
            </w:pPr>
            <w:r w:rsidRPr="00526DFA">
              <w:t>The extent of faults is determined from reports and other documentation and from discussions with appropriate personnel</w:t>
            </w:r>
          </w:p>
        </w:tc>
      </w:tr>
      <w:tr w:rsidTr="00526D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6D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6DFA">
            <w:pPr>
              <w:pStyle w:val="BodyText"/>
              <w:rPr>
                <w:lang w:val="en-NZ"/>
              </w:rPr>
            </w:pPr>
            <w:r w:rsidRPr="00526DF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26DFA">
            <w:pPr>
              <w:pStyle w:val="BodyText"/>
              <w:rPr>
                <w:lang w:val="en-NZ"/>
              </w:rPr>
            </w:pPr>
            <w:r w:rsidRPr="00526DFA">
              <w:t>Appropriate personnel are consulted to ensure the work is coordinated effectively with others involved on th</w:t>
            </w:r>
            <w:r w:rsidRPr="00526DFA">
              <w:t>e worksite</w:t>
            </w:r>
          </w:p>
        </w:tc>
      </w:tr>
      <w:tr w:rsidTr="00526D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6D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6DFA">
            <w:pPr>
              <w:pStyle w:val="BodyText"/>
              <w:rPr>
                <w:lang w:val="en-NZ"/>
              </w:rPr>
            </w:pPr>
            <w:r w:rsidRPr="00526DF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26DFA">
            <w:pPr>
              <w:pStyle w:val="BodyText"/>
              <w:rPr>
                <w:lang w:val="en-NZ"/>
              </w:rPr>
            </w:pPr>
            <w:r w:rsidRPr="00526DFA">
              <w:t>Tools, equipment and testing devices needed to diagnose faults are obtained in accordance with established procedures and checked for correct operation and safety</w:t>
            </w:r>
          </w:p>
        </w:tc>
      </w:tr>
      <w:tr w:rsidTr="00526D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26DFA" w:rsidP="00526DFA">
            <w:pPr>
              <w:pStyle w:val="BodyText"/>
            </w:pPr>
            <w:r w:rsidRPr="00526DF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26DFA" w:rsidP="00526DFA">
            <w:pPr>
              <w:pStyle w:val="BodyText"/>
            </w:pPr>
            <w:r w:rsidRPr="00526DFA">
              <w:rPr>
                <w:rStyle w:val="SpecialBold"/>
              </w:rPr>
              <w:t>Diagnose and rectify faults</w:t>
            </w:r>
          </w:p>
        </w:tc>
        <w:tc>
          <w:tcPr>
            <w:tcW w:w="697" w:type="dxa"/>
            <w:tcBorders>
              <w:top w:val="nil"/>
              <w:left w:val="nil"/>
              <w:bottom w:val="nil"/>
              <w:right w:val="nil"/>
            </w:tcBorders>
            <w:tcMar>
              <w:top w:w="0" w:type="dxa"/>
              <w:left w:w="62" w:type="dxa"/>
              <w:bottom w:w="0" w:type="dxa"/>
              <w:right w:w="62" w:type="dxa"/>
            </w:tcMar>
          </w:tcPr>
          <w:p w:rsidR="00000000" w:rsidP="00526DFA">
            <w:pPr>
              <w:pStyle w:val="BodyText"/>
              <w:rPr>
                <w:lang w:val="en-NZ"/>
              </w:rPr>
            </w:pPr>
            <w:r w:rsidRPr="00526DF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26DFA">
            <w:pPr>
              <w:pStyle w:val="BodyText"/>
              <w:rPr>
                <w:lang w:val="en-NZ"/>
              </w:rPr>
            </w:pPr>
            <w:r w:rsidRPr="00526DFA">
              <w:t>WHS/OHS risk control measures and procedures for carrying out the work are followed</w:t>
            </w:r>
          </w:p>
        </w:tc>
      </w:tr>
      <w:tr w:rsidTr="00526D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6D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6DFA">
            <w:pPr>
              <w:pStyle w:val="BodyText"/>
              <w:rPr>
                <w:lang w:val="en-NZ"/>
              </w:rPr>
            </w:pPr>
            <w:r w:rsidRPr="00526DF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26DFA">
            <w:pPr>
              <w:pStyle w:val="BodyText"/>
              <w:rPr>
                <w:lang w:val="en-NZ"/>
              </w:rPr>
            </w:pPr>
            <w:r w:rsidRPr="00526DFA">
              <w:t>The need to test or measure live work is determined in strict accordance with WHS/OHS requirements, and when necessary, conducted within established safety procedure</w:t>
            </w:r>
            <w:r w:rsidRPr="00526DFA">
              <w:t>s</w:t>
            </w:r>
          </w:p>
        </w:tc>
      </w:tr>
      <w:tr w:rsidTr="00526D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6D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6DFA">
            <w:pPr>
              <w:pStyle w:val="BodyText"/>
              <w:rPr>
                <w:lang w:val="en-NZ"/>
              </w:rPr>
            </w:pPr>
            <w:r w:rsidRPr="00526DF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26DFA">
            <w:pPr>
              <w:pStyle w:val="BodyText"/>
              <w:rPr>
                <w:lang w:val="en-NZ"/>
              </w:rPr>
            </w:pPr>
            <w:r w:rsidRPr="00526DFA">
              <w:t>Circuits/machines/plant are checked as being isolated, where necessary, in strict accordance with WHS/OHS requirements and procedures</w:t>
            </w:r>
          </w:p>
        </w:tc>
      </w:tr>
      <w:tr w:rsidTr="00526D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6D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6DFA">
            <w:pPr>
              <w:pStyle w:val="BodyText"/>
              <w:rPr>
                <w:lang w:val="en-NZ"/>
              </w:rPr>
            </w:pPr>
            <w:r w:rsidRPr="00526DF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26DFA">
            <w:pPr>
              <w:pStyle w:val="BodyText"/>
              <w:rPr>
                <w:lang w:val="en-NZ"/>
              </w:rPr>
            </w:pPr>
            <w:r w:rsidRPr="00526DFA">
              <w:t>Logical diagnostic methods are applied to diagnose energy supply apparatus faults employing measurements a</w:t>
            </w:r>
            <w:r w:rsidRPr="00526DFA">
              <w:t>nd estimations of system operating parameters referenced to system operational requirements</w:t>
            </w:r>
          </w:p>
        </w:tc>
      </w:tr>
      <w:tr w:rsidTr="00526D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6D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6DFA">
            <w:pPr>
              <w:pStyle w:val="BodyText"/>
              <w:rPr>
                <w:lang w:val="en-NZ"/>
              </w:rPr>
            </w:pPr>
            <w:r w:rsidRPr="00526DF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26DFA">
            <w:pPr>
              <w:pStyle w:val="BodyText"/>
              <w:rPr>
                <w:lang w:val="en-NZ"/>
              </w:rPr>
            </w:pPr>
            <w:r w:rsidRPr="00526DFA">
              <w:t>Suspected fault scenarios are tested as being the source of system problems</w:t>
            </w:r>
          </w:p>
        </w:tc>
      </w:tr>
      <w:tr w:rsidTr="00526D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6D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6DFA">
            <w:pPr>
              <w:pStyle w:val="BodyText"/>
              <w:rPr>
                <w:lang w:val="en-NZ"/>
              </w:rPr>
            </w:pPr>
            <w:r w:rsidRPr="00526DF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26DFA">
            <w:pPr>
              <w:pStyle w:val="BodyText"/>
              <w:rPr>
                <w:lang w:val="en-NZ"/>
              </w:rPr>
            </w:pPr>
            <w:r w:rsidRPr="00526DFA">
              <w:t>Source of fault is identified and appropriately competent person/s engaged to rectify the fault where it is outside the scope of the control system</w:t>
            </w:r>
          </w:p>
        </w:tc>
      </w:tr>
      <w:tr w:rsidTr="00526D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6D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6DFA">
            <w:pPr>
              <w:pStyle w:val="BodyText"/>
              <w:rPr>
                <w:lang w:val="en-NZ"/>
              </w:rPr>
            </w:pPr>
            <w:r w:rsidRPr="00526DF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26DFA">
            <w:pPr>
              <w:pStyle w:val="BodyText"/>
              <w:rPr>
                <w:lang w:val="en-NZ"/>
              </w:rPr>
            </w:pPr>
            <w:r w:rsidRPr="00526DFA">
              <w:t>Faults in the apparatus components are rectified to raise energy supply apparatus to its operation st</w:t>
            </w:r>
            <w:r w:rsidRPr="00526DFA">
              <w:t>andard</w:t>
            </w:r>
          </w:p>
        </w:tc>
      </w:tr>
      <w:tr w:rsidTr="00526D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6D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6DFA">
            <w:pPr>
              <w:pStyle w:val="BodyText"/>
              <w:rPr>
                <w:lang w:val="en-NZ"/>
              </w:rPr>
            </w:pPr>
            <w:r w:rsidRPr="00526DFA">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526DFA">
            <w:pPr>
              <w:pStyle w:val="BodyText"/>
              <w:rPr>
                <w:lang w:val="en-NZ"/>
              </w:rPr>
            </w:pPr>
            <w:r w:rsidRPr="00526DFA">
              <w:t>System is tested to verify that it operates as intended and to specified requirements</w:t>
            </w:r>
          </w:p>
        </w:tc>
      </w:tr>
      <w:tr w:rsidTr="00526D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6D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6DFA">
            <w:pPr>
              <w:pStyle w:val="BodyText"/>
              <w:rPr>
                <w:lang w:val="en-NZ"/>
              </w:rPr>
            </w:pPr>
            <w:r w:rsidRPr="00526DFA">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526DFA">
            <w:pPr>
              <w:pStyle w:val="BodyText"/>
              <w:rPr>
                <w:lang w:val="en-NZ"/>
              </w:rPr>
            </w:pPr>
            <w:r w:rsidRPr="00526DFA">
              <w:t>Decisions for dealing with unexpected situations are made from discussions with appropriate personnel and job specifications and requirements</w:t>
            </w:r>
          </w:p>
        </w:tc>
      </w:tr>
      <w:tr w:rsidTr="00526D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6D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6DFA">
            <w:pPr>
              <w:pStyle w:val="BodyText"/>
              <w:rPr>
                <w:lang w:val="en-NZ"/>
              </w:rPr>
            </w:pPr>
            <w:r w:rsidRPr="00526DFA">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526DFA">
            <w:pPr>
              <w:pStyle w:val="BodyText"/>
              <w:rPr>
                <w:lang w:val="en-NZ"/>
              </w:rPr>
            </w:pPr>
            <w:r w:rsidRPr="00526DFA">
              <w:t>Methods for dealing with unexpected situations are selected on the basis of safety and specified work outcomes</w:t>
            </w:r>
          </w:p>
        </w:tc>
      </w:tr>
      <w:tr w:rsidTr="00526D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6D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6DFA">
            <w:pPr>
              <w:pStyle w:val="BodyText"/>
              <w:rPr>
                <w:lang w:val="en-NZ"/>
              </w:rPr>
            </w:pPr>
            <w:r w:rsidRPr="00526DFA">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526DFA">
            <w:pPr>
              <w:pStyle w:val="BodyText"/>
              <w:rPr>
                <w:lang w:val="en-NZ"/>
              </w:rPr>
            </w:pPr>
            <w:r w:rsidRPr="00526DFA">
              <w:t>Diagnosis and rectification activities are carried out efficiently without unnecessary waste of materials or damage to apparatus, the su</w:t>
            </w:r>
            <w:r w:rsidRPr="00526DFA">
              <w:t>rrounding environment or services using sustainable energy practices</w:t>
            </w:r>
          </w:p>
        </w:tc>
      </w:tr>
      <w:tr w:rsidTr="00526D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26DFA" w:rsidP="00526DFA">
            <w:pPr>
              <w:pStyle w:val="BodyText"/>
            </w:pPr>
            <w:r w:rsidRPr="00526DF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26DFA" w:rsidP="00526DFA">
            <w:pPr>
              <w:pStyle w:val="BodyText"/>
            </w:pPr>
            <w:r w:rsidRPr="00526DFA">
              <w:rPr>
                <w:rStyle w:val="SpecialBold"/>
              </w:rPr>
              <w:t>Complete and report fault diagnosis and rectification activities</w:t>
            </w:r>
          </w:p>
        </w:tc>
        <w:tc>
          <w:tcPr>
            <w:tcW w:w="697" w:type="dxa"/>
            <w:tcBorders>
              <w:top w:val="nil"/>
              <w:left w:val="nil"/>
              <w:bottom w:val="nil"/>
              <w:right w:val="nil"/>
            </w:tcBorders>
            <w:tcMar>
              <w:top w:w="0" w:type="dxa"/>
              <w:left w:w="62" w:type="dxa"/>
              <w:bottom w:w="0" w:type="dxa"/>
              <w:right w:w="62" w:type="dxa"/>
            </w:tcMar>
          </w:tcPr>
          <w:p w:rsidR="00000000" w:rsidP="00526DFA">
            <w:pPr>
              <w:pStyle w:val="BodyText"/>
              <w:rPr>
                <w:lang w:val="en-NZ"/>
              </w:rPr>
            </w:pPr>
            <w:r w:rsidRPr="00526DF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26DFA">
            <w:pPr>
              <w:pStyle w:val="BodyText"/>
              <w:rPr>
                <w:lang w:val="en-NZ"/>
              </w:rPr>
            </w:pPr>
            <w:r w:rsidRPr="00526DFA">
              <w:t>WHS/OHS work completion risk control measures and procedures are followed</w:t>
            </w:r>
          </w:p>
        </w:tc>
      </w:tr>
      <w:tr w:rsidTr="00526D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6D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6DFA">
            <w:pPr>
              <w:pStyle w:val="BodyText"/>
              <w:rPr>
                <w:lang w:val="en-NZ"/>
              </w:rPr>
            </w:pPr>
            <w:r w:rsidRPr="00526DF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26DFA">
            <w:pPr>
              <w:pStyle w:val="BodyText"/>
              <w:rPr>
                <w:lang w:val="en-NZ"/>
              </w:rPr>
            </w:pPr>
            <w:r w:rsidRPr="00526DFA">
              <w:t>Worksite is made safe in accordanc</w:t>
            </w:r>
            <w:r w:rsidRPr="00526DFA">
              <w:t>e with established safety procedures</w:t>
            </w:r>
          </w:p>
        </w:tc>
      </w:tr>
      <w:tr w:rsidTr="00526D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6D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6DFA">
            <w:pPr>
              <w:pStyle w:val="BodyText"/>
              <w:rPr>
                <w:lang w:val="en-NZ"/>
              </w:rPr>
            </w:pPr>
            <w:r w:rsidRPr="00526DF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26DFA">
            <w:pPr>
              <w:pStyle w:val="BodyText"/>
              <w:rPr>
                <w:lang w:val="en-NZ"/>
              </w:rPr>
            </w:pPr>
            <w:r w:rsidRPr="00526DFA">
              <w:t>Rectification of faults is documented in accordance with established procedures</w:t>
            </w:r>
          </w:p>
        </w:tc>
      </w:tr>
      <w:tr w:rsidTr="00526DF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6D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6DFA">
            <w:pPr>
              <w:pStyle w:val="BodyText"/>
              <w:rPr>
                <w:lang w:val="en-NZ"/>
              </w:rPr>
            </w:pPr>
            <w:r w:rsidRPr="00526DF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526DFA" w:rsidP="00526DFA">
            <w:pPr>
              <w:pStyle w:val="BodyText"/>
            </w:pPr>
            <w:r w:rsidRPr="00526DFA">
              <w:t>Appropriate person/s is notified in accordance with established procedures that the system faults have been rectified</w:t>
            </w:r>
          </w:p>
        </w:tc>
      </w:tr>
    </w:tbl>
    <w:p w:rsidR="00000000" w:rsidRPr="00526DFA" w:rsidP="00526DFA">
      <w:pPr>
        <w:pStyle w:val="NoPaddingFontSize1"/>
      </w:pPr>
    </w:p>
    <w:p w:rsidR="00000000" w:rsidRPr="00526DFA" w:rsidP="00526DFA">
      <w:pPr>
        <w:pStyle w:val="AllowPageBreak"/>
      </w:pPr>
    </w:p>
    <w:p w:rsidR="00000000" w:rsidRPr="00526DFA" w:rsidP="00526DFA">
      <w:pPr>
        <w:pStyle w:val="Heading1"/>
      </w:pPr>
      <w:bookmarkStart w:id="7" w:name="O_1003731"/>
      <w:bookmarkEnd w:id="7"/>
      <w:r w:rsidRPr="00526DFA">
        <w:t>Foundation Skills</w:t>
      </w:r>
    </w:p>
    <w:tbl>
      <w:tblPr>
        <w:tblW w:w="9497" w:type="dxa"/>
        <w:tblLayout w:type="fixed"/>
        <w:tblCellMar>
          <w:left w:w="62" w:type="dxa"/>
          <w:right w:w="62" w:type="dxa"/>
        </w:tblCellMar>
        <w:tblLook w:val="0000"/>
      </w:tblPr>
      <w:tblGrid>
        <w:gridCol w:w="9497"/>
      </w:tblGrid>
      <w:tr w:rsidTr="00526D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6DFA" w:rsidP="00526DFA">
            <w:pPr>
              <w:pStyle w:val="BodyText"/>
            </w:pPr>
            <w:r w:rsidRPr="00526DFA">
              <w:t>Foundation skills essential to performance are explicit in the performance criteria of this unit of competency.</w:t>
            </w:r>
          </w:p>
        </w:tc>
      </w:tr>
    </w:tbl>
    <w:p w:rsidR="00000000" w:rsidRPr="00526DFA" w:rsidP="00526DFA">
      <w:pPr>
        <w:pStyle w:val="NoPaddingFontSize1"/>
      </w:pPr>
    </w:p>
    <w:p w:rsidR="00000000" w:rsidRPr="00526DFA" w:rsidP="00526DFA">
      <w:pPr>
        <w:pStyle w:val="AllowPageBreak"/>
      </w:pPr>
    </w:p>
    <w:p w:rsidR="00000000" w:rsidRPr="00526DFA" w:rsidP="00526DFA">
      <w:pPr>
        <w:pStyle w:val="Heading1"/>
      </w:pPr>
      <w:bookmarkStart w:id="8" w:name="O_1003732"/>
      <w:bookmarkEnd w:id="8"/>
      <w:r w:rsidRPr="00526DFA">
        <w:t>Range of Conditions</w:t>
      </w:r>
    </w:p>
    <w:tbl>
      <w:tblPr>
        <w:tblW w:w="9497" w:type="dxa"/>
        <w:tblLayout w:type="fixed"/>
        <w:tblCellMar>
          <w:left w:w="62" w:type="dxa"/>
          <w:right w:w="62" w:type="dxa"/>
        </w:tblCellMar>
        <w:tblLook w:val="0000"/>
      </w:tblPr>
      <w:tblGrid>
        <w:gridCol w:w="9497"/>
      </w:tblGrid>
      <w:tr w:rsidTr="00526D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6DFA" w:rsidP="00526DFA">
            <w:pPr>
              <w:pStyle w:val="BodyText"/>
            </w:pPr>
            <w:r w:rsidRPr="00526DFA">
              <w:t xml:space="preserve">Range is restricted to essential operating </w:t>
            </w:r>
            <w:r w:rsidRPr="00526DFA">
              <w:t>conditions and any other variables essential to the work environment.</w:t>
            </w:r>
          </w:p>
          <w:p w:rsidR="00000000" w:rsidRPr="00526DFA" w:rsidP="00526DFA">
            <w:pPr>
              <w:pStyle w:val="BodyText"/>
            </w:pPr>
            <w:r w:rsidRPr="00526DFA">
              <w:t>Non-essential conditions may be found in the Companion Volume Implementation Guide.</w:t>
            </w:r>
          </w:p>
        </w:tc>
      </w:tr>
    </w:tbl>
    <w:p w:rsidR="00000000" w:rsidRPr="00526DFA" w:rsidP="00526DFA">
      <w:pPr>
        <w:pStyle w:val="NoPaddingFontSize1"/>
      </w:pPr>
    </w:p>
    <w:p w:rsidR="00000000" w:rsidRPr="00526DFA" w:rsidP="00526DFA">
      <w:pPr>
        <w:pStyle w:val="AllowPageBreak"/>
      </w:pPr>
    </w:p>
    <w:p w:rsidR="00000000" w:rsidRPr="00526DFA" w:rsidP="00526DFA">
      <w:pPr>
        <w:pStyle w:val="Heading1"/>
      </w:pPr>
      <w:bookmarkStart w:id="9" w:name="O_1003733"/>
      <w:bookmarkEnd w:id="9"/>
      <w:r w:rsidRPr="00526DFA">
        <w:t>Unit Mapping Information</w:t>
      </w:r>
    </w:p>
    <w:tbl>
      <w:tblPr>
        <w:tblW w:w="9497" w:type="dxa"/>
        <w:tblLayout w:type="fixed"/>
        <w:tblCellMar>
          <w:left w:w="62" w:type="dxa"/>
          <w:right w:w="62" w:type="dxa"/>
        </w:tblCellMar>
        <w:tblLook w:val="0000"/>
      </w:tblPr>
      <w:tblGrid>
        <w:gridCol w:w="9497"/>
      </w:tblGrid>
      <w:tr w:rsidTr="00526D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6DFA" w:rsidP="00526DFA">
            <w:pPr>
              <w:pStyle w:val="BodyText"/>
            </w:pPr>
            <w:r w:rsidRPr="00526DFA">
              <w:t>This unit replaces and is equivalent to UETTDRIS70A Diag</w:t>
            </w:r>
            <w:r w:rsidRPr="00526DFA">
              <w:t>nose and rectify faults in electrical energy distribution systems.</w:t>
            </w:r>
          </w:p>
        </w:tc>
      </w:tr>
    </w:tbl>
    <w:p w:rsidR="00000000" w:rsidRPr="00526DFA" w:rsidP="00526DFA">
      <w:pPr>
        <w:pStyle w:val="NoPaddingFontSize1"/>
      </w:pPr>
    </w:p>
    <w:p w:rsidR="00000000" w:rsidRPr="00526DFA" w:rsidP="00526DFA">
      <w:pPr>
        <w:pStyle w:val="AllowPageBreak"/>
      </w:pPr>
    </w:p>
    <w:p w:rsidR="00000000" w:rsidRPr="00526DFA" w:rsidP="00526DFA">
      <w:pPr>
        <w:pStyle w:val="Heading1"/>
      </w:pPr>
      <w:bookmarkStart w:id="10" w:name="O_1003740"/>
      <w:bookmarkEnd w:id="10"/>
      <w:r w:rsidRPr="00526DFA">
        <w:t>Links</w:t>
      </w:r>
    </w:p>
    <w:p w:rsidR="00000000" w:rsidRPr="00526DFA" w:rsidP="00BD2BAE">
      <w:pPr>
        <w:pStyle w:val="BodyText"/>
      </w:pPr>
      <w:r w:rsidRPr="00526DFA">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40733C">
        <w:rPr>
          <w:rStyle w:val="Hyperlink"/>
        </w:rPr>
        <w:t>https://vetnet.gov.au/Pages/TrainingDocs.aspx?q=229bace1-b7bc-4653-9300-dffb13ecfad7</w:t>
      </w:r>
      <w:r>
        <w:fldChar w:fldCharType="end"/>
      </w:r>
    </w:p>
    <w:p w:rsidR="00000000" w:rsidRPr="00526DFA" w:rsidP="00BD2BAE">
      <w:pPr>
        <w:pStyle w:val="BodyText"/>
        <w:sectPr w:rsidSect="00526DFA">
          <w:headerReference w:type="default" r:id="rId10"/>
          <w:footerReference w:type="default" r:id="rId11"/>
          <w:pgSz w:w="11908" w:h="16833"/>
          <w:pgMar w:top="1702" w:right="1418" w:bottom="1702" w:left="1418" w:header="992" w:footer="992" w:gutter="0"/>
          <w:cols w:space="720"/>
          <w:noEndnote/>
          <w:docGrid w:linePitch="299"/>
        </w:sectPr>
      </w:pPr>
    </w:p>
    <w:p w:rsidR="00000000" w:rsidRPr="00526DFA" w:rsidP="00526DFA">
      <w:pPr>
        <w:pStyle w:val="SuperHeading"/>
      </w:pPr>
      <w:r w:rsidRPr="00526DFA">
        <w:t>Assessment Requirements for UETTDRIS70 Diagnose and rectify faults in electrical energy distribution systems</w:t>
      </w:r>
    </w:p>
    <w:p w:rsidR="00000000" w:rsidRPr="00526DFA" w:rsidP="00526DFA">
      <w:pPr>
        <w:pStyle w:val="Heading1"/>
      </w:pPr>
      <w:bookmarkStart w:id="11" w:name="O_1003735"/>
      <w:bookmarkEnd w:id="11"/>
      <w:r w:rsidRPr="00526DFA">
        <w:t>Modification History</w:t>
      </w:r>
    </w:p>
    <w:tbl>
      <w:tblPr>
        <w:tblW w:w="9497" w:type="dxa"/>
        <w:tblLayout w:type="fixed"/>
        <w:tblCellMar>
          <w:left w:w="62" w:type="dxa"/>
          <w:right w:w="62" w:type="dxa"/>
        </w:tblCellMar>
        <w:tblLook w:val="0000"/>
      </w:tblPr>
      <w:tblGrid>
        <w:gridCol w:w="9497"/>
      </w:tblGrid>
      <w:tr w:rsidTr="00526D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6DFA" w:rsidP="00526DFA">
            <w:pPr>
              <w:pStyle w:val="BodyText"/>
            </w:pPr>
            <w:r w:rsidRPr="00526DFA">
              <w:t>Release 1. This is the first release of this unit of compe</w:t>
            </w:r>
            <w:r w:rsidRPr="00526DFA">
              <w:t>tency in the UET Transmission, Distribution and Rail Sector Training Package.</w:t>
            </w:r>
          </w:p>
        </w:tc>
      </w:tr>
    </w:tbl>
    <w:p w:rsidR="00000000" w:rsidRPr="00526DFA" w:rsidP="00526DFA">
      <w:pPr>
        <w:pStyle w:val="NoPaddingFontSize1"/>
      </w:pPr>
    </w:p>
    <w:p w:rsidR="00000000" w:rsidRPr="00526DFA" w:rsidP="00526DFA">
      <w:pPr>
        <w:pStyle w:val="AllowPageBreak"/>
      </w:pPr>
    </w:p>
    <w:p w:rsidR="00000000" w:rsidRPr="00526DFA" w:rsidP="00526DFA">
      <w:pPr>
        <w:pStyle w:val="Heading1"/>
      </w:pPr>
      <w:bookmarkStart w:id="12" w:name="O_1003736"/>
      <w:bookmarkEnd w:id="12"/>
      <w:r w:rsidRPr="00526DFA">
        <w:t>Performance Evidence</w:t>
      </w:r>
    </w:p>
    <w:tbl>
      <w:tblPr>
        <w:tblW w:w="9497" w:type="dxa"/>
        <w:tblLayout w:type="fixed"/>
        <w:tblCellMar>
          <w:left w:w="62" w:type="dxa"/>
          <w:right w:w="62" w:type="dxa"/>
        </w:tblCellMar>
        <w:tblLook w:val="0000"/>
      </w:tblPr>
      <w:tblGrid>
        <w:gridCol w:w="9497"/>
      </w:tblGrid>
      <w:tr w:rsidTr="00526D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26DFA">
            <w:pPr>
              <w:pStyle w:val="BodyText"/>
              <w:rPr>
                <w:lang w:val="en-NZ"/>
              </w:rPr>
            </w:pPr>
            <w:r w:rsidRPr="00526DFA">
              <w:t xml:space="preserve">Evidence required to demonstrate competence in this unit must be relevant to and satisfy all of the requirements of the elements and performance criteria on at least two separate occasions and include:  </w:t>
            </w:r>
          </w:p>
        </w:tc>
      </w:tr>
      <w:tr w:rsidTr="00526D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6DFA" w:rsidP="00526DFA">
            <w:pPr>
              <w:pStyle w:val="ListBullet"/>
            </w:pPr>
            <w:r w:rsidRPr="00526DFA">
              <w:t>applying relevant work health and safety (WHS)/occ</w:t>
            </w:r>
            <w:r w:rsidRPr="00526DFA">
              <w:t>upational health and safety (OHS) requirements, including the use of risk control measures</w:t>
            </w:r>
          </w:p>
          <w:p w:rsidR="00000000" w:rsidRPr="00526DFA" w:rsidP="00526DFA">
            <w:pPr>
              <w:pStyle w:val="ListBullet"/>
            </w:pPr>
            <w:r w:rsidRPr="00526DFA">
              <w:t>applying sustainable energy principles and practices</w:t>
            </w:r>
          </w:p>
          <w:p w:rsidR="00000000" w:rsidRPr="00526DFA" w:rsidP="00526DFA">
            <w:pPr>
              <w:pStyle w:val="ListBullet"/>
            </w:pPr>
            <w:r w:rsidRPr="00526DFA">
              <w:t>diagnosing and rectifying faults in electrical energy distribution systems including:</w:t>
            </w:r>
          </w:p>
          <w:p w:rsidR="00000000" w:rsidRPr="00526DFA" w:rsidP="00526DFA">
            <w:pPr>
              <w:pStyle w:val="ListBullet2"/>
            </w:pPr>
            <w:r w:rsidRPr="00526DFA">
              <w:t>applying logical diagnost</w:t>
            </w:r>
            <w:r w:rsidRPr="00526DFA">
              <w:t>ic methods</w:t>
            </w:r>
          </w:p>
          <w:p w:rsidR="00000000" w:rsidRPr="00526DFA" w:rsidP="00526DFA">
            <w:pPr>
              <w:pStyle w:val="ListBullet2"/>
            </w:pPr>
            <w:r w:rsidRPr="00526DFA">
              <w:t>using fault scenarios to test the cause of system faults</w:t>
            </w:r>
          </w:p>
          <w:p w:rsidR="00000000" w:rsidRPr="00526DFA" w:rsidP="00526DFA">
            <w:pPr>
              <w:pStyle w:val="ListBullet2"/>
            </w:pPr>
            <w:r w:rsidRPr="00526DFA">
              <w:t>identifying faults and competency needed to rectify them</w:t>
            </w:r>
          </w:p>
          <w:p w:rsidR="00000000" w:rsidRPr="00526DFA" w:rsidP="00526DFA">
            <w:pPr>
              <w:pStyle w:val="ListBullet2"/>
            </w:pPr>
            <w:r w:rsidRPr="00526DFA">
              <w:t>rectifying faults in system controls</w:t>
            </w:r>
          </w:p>
          <w:p w:rsidR="00000000" w:rsidRPr="00526DFA" w:rsidP="00526DFA">
            <w:pPr>
              <w:pStyle w:val="ListBullet2"/>
            </w:pPr>
            <w:r w:rsidRPr="00526DFA">
              <w:t>verifying that the system operates correctly</w:t>
            </w:r>
          </w:p>
          <w:p w:rsidR="00000000" w:rsidRPr="00526DFA" w:rsidP="00526DFA">
            <w:pPr>
              <w:pStyle w:val="ListBullet2"/>
            </w:pPr>
            <w:r w:rsidRPr="00526DFA">
              <w:t>documenting fault rectification</w:t>
            </w:r>
          </w:p>
          <w:p w:rsidR="00000000" w:rsidRPr="00526DFA" w:rsidP="00526DFA">
            <w:pPr>
              <w:pStyle w:val="ListBullet2"/>
            </w:pPr>
            <w:r w:rsidRPr="00526DFA">
              <w:t>dealing with unplanned events on at least one occasion.</w:t>
            </w:r>
          </w:p>
          <w:p w:rsidR="00000000" w:rsidRPr="00526DFA" w:rsidP="00526DFA">
            <w:pPr>
              <w:pStyle w:val="BodyText"/>
            </w:pPr>
            <w:r w:rsidRPr="00526DFA">
              <w:t xml:space="preserve">Note: </w:t>
            </w:r>
          </w:p>
          <w:p w:rsidR="00000000" w:rsidRPr="00526DFA" w:rsidP="00526DFA">
            <w:pPr>
              <w:pStyle w:val="BodyText"/>
            </w:pPr>
            <w:r w:rsidRPr="00526DFA">
              <w:t>Successful completion of relevant vendor training may be used to contribute to evidence on which competency is deemed. In these cases, the alignment of outcomes of vendor training with performa</w:t>
            </w:r>
            <w:r w:rsidRPr="00526DFA">
              <w:t>nce criteria and critical aspects of evidence shall be clearly identified</w:t>
            </w:r>
          </w:p>
        </w:tc>
      </w:tr>
    </w:tbl>
    <w:p w:rsidR="00000000" w:rsidRPr="00526DFA" w:rsidP="00526DFA">
      <w:pPr>
        <w:pStyle w:val="NoPaddingFontSize1"/>
      </w:pPr>
    </w:p>
    <w:p w:rsidR="00000000" w:rsidRPr="00526DFA" w:rsidP="00526DFA">
      <w:pPr>
        <w:pStyle w:val="AllowPageBreak"/>
      </w:pPr>
    </w:p>
    <w:p w:rsidR="00000000" w:rsidRPr="00526DFA" w:rsidP="00526DFA">
      <w:pPr>
        <w:pStyle w:val="Heading1"/>
      </w:pPr>
      <w:bookmarkStart w:id="13" w:name="O_1003737"/>
      <w:bookmarkEnd w:id="13"/>
      <w:r w:rsidRPr="00526DFA">
        <w:t>Knowledge Evidence</w:t>
      </w:r>
    </w:p>
    <w:tbl>
      <w:tblPr>
        <w:tblW w:w="9497" w:type="dxa"/>
        <w:tblLayout w:type="fixed"/>
        <w:tblCellMar>
          <w:left w:w="62" w:type="dxa"/>
          <w:right w:w="62" w:type="dxa"/>
        </w:tblCellMar>
        <w:tblLook w:val="0000"/>
      </w:tblPr>
      <w:tblGrid>
        <w:gridCol w:w="9497"/>
      </w:tblGrid>
      <w:tr w:rsidTr="00526D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26DFA">
            <w:pPr>
              <w:pStyle w:val="BodyText"/>
              <w:rPr>
                <w:lang w:val="en-NZ"/>
              </w:rPr>
            </w:pPr>
            <w:r w:rsidRPr="00526DFA">
              <w:t>Evidence required to demonstrate competence in this unit must be relevant to and satisfy all of the requirements of the elements and performance criteria and include knowledge of:</w:t>
            </w:r>
          </w:p>
        </w:tc>
      </w:tr>
      <w:tr w:rsidTr="00526D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6DFA" w:rsidP="00526DFA">
            <w:pPr>
              <w:pStyle w:val="ListBullet"/>
            </w:pPr>
            <w:r w:rsidRPr="00526DFA">
              <w:t>distribution system overview encompassing:</w:t>
            </w:r>
          </w:p>
          <w:p w:rsidR="00000000" w:rsidRPr="00526DFA" w:rsidP="00526DFA">
            <w:pPr>
              <w:pStyle w:val="ListBullet2"/>
            </w:pPr>
            <w:r w:rsidRPr="00526DFA">
              <w:t>regulatory conditions of supply and utilisation</w:t>
            </w:r>
          </w:p>
          <w:p w:rsidR="00000000" w:rsidRPr="00526DFA" w:rsidP="00526DFA">
            <w:pPr>
              <w:pStyle w:val="ListBullet2"/>
            </w:pPr>
            <w:r w:rsidRPr="00526DFA">
              <w:t>compliance with Australian Standards</w:t>
            </w:r>
          </w:p>
          <w:p w:rsidR="00000000" w:rsidRPr="00526DFA" w:rsidP="00526DFA">
            <w:pPr>
              <w:pStyle w:val="ListBullet2"/>
            </w:pPr>
            <w:r w:rsidRPr="00526DFA">
              <w:t>reticulation system, including overhead/underground, urban/rural, high voltage (HV) customers and high-rise building systems</w:t>
            </w:r>
          </w:p>
          <w:p w:rsidR="00000000" w:rsidRPr="00526DFA" w:rsidP="00526DFA">
            <w:pPr>
              <w:pStyle w:val="ListBullet2"/>
            </w:pPr>
            <w:r w:rsidRPr="00526DFA">
              <w:t>methods used to ensure continuity of supply</w:t>
            </w:r>
          </w:p>
          <w:p w:rsidR="00000000" w:rsidRPr="00526DFA" w:rsidP="00526DFA">
            <w:pPr>
              <w:pStyle w:val="ListBullet2"/>
            </w:pPr>
            <w:r w:rsidRPr="00526DFA">
              <w:t>ty</w:t>
            </w:r>
            <w:r w:rsidRPr="00526DFA">
              <w:t>pes of substations in current use</w:t>
            </w:r>
          </w:p>
          <w:p w:rsidR="00000000" w:rsidRPr="00526DFA" w:rsidP="00526DFA">
            <w:pPr>
              <w:pStyle w:val="ListBullet2"/>
            </w:pPr>
            <w:r w:rsidRPr="00526DFA">
              <w:t>systems of distribution used, (primary and secondary)</w:t>
            </w:r>
          </w:p>
          <w:p w:rsidR="00000000" w:rsidRPr="00526DFA" w:rsidP="00526DFA">
            <w:pPr>
              <w:pStyle w:val="ListBullet2"/>
            </w:pPr>
            <w:r w:rsidRPr="00526DFA">
              <w:t>voltage levels, power factor, wave-form distortion and transient loading</w:t>
            </w:r>
          </w:p>
          <w:p w:rsidR="00000000" w:rsidRPr="00526DFA" w:rsidP="00526DFA">
            <w:pPr>
              <w:pStyle w:val="ListBullet2"/>
            </w:pPr>
            <w:r w:rsidRPr="00526DFA">
              <w:t>supply quality</w:t>
            </w:r>
          </w:p>
          <w:p w:rsidR="00000000" w:rsidRPr="00526DFA" w:rsidP="00526DFA">
            <w:pPr>
              <w:pStyle w:val="ListBullet2"/>
            </w:pPr>
            <w:r w:rsidRPr="00526DFA">
              <w:t>load curve profiles (residential/industrial/commercial)</w:t>
            </w:r>
          </w:p>
          <w:p w:rsidR="00000000" w:rsidRPr="00526DFA" w:rsidP="00526DFA">
            <w:pPr>
              <w:pStyle w:val="ListBullet2"/>
            </w:pPr>
            <w:r w:rsidRPr="00526DFA">
              <w:t>types of feeders</w:t>
            </w:r>
          </w:p>
          <w:p w:rsidR="00000000" w:rsidRPr="00526DFA" w:rsidP="00526DFA">
            <w:pPr>
              <w:pStyle w:val="ListBullet2"/>
            </w:pPr>
            <w:r w:rsidRPr="00526DFA">
              <w:t>distribution systems (urban, rural single-phase systems, single wire earth return (SWER), spur, parallel and ring systems)</w:t>
            </w:r>
          </w:p>
          <w:p w:rsidR="00000000" w:rsidRPr="00526DFA" w:rsidP="00526DFA">
            <w:pPr>
              <w:pStyle w:val="ListBullet"/>
            </w:pPr>
            <w:r w:rsidRPr="00526DFA">
              <w:t>overhead lines and installation encompassing:</w:t>
            </w:r>
          </w:p>
          <w:p w:rsidR="00000000" w:rsidRPr="00526DFA" w:rsidP="00526DFA">
            <w:pPr>
              <w:pStyle w:val="ListBullet2"/>
            </w:pPr>
            <w:r w:rsidRPr="00526DFA">
              <w:t>industry and safety regulations</w:t>
            </w:r>
          </w:p>
          <w:p w:rsidR="00000000" w:rsidRPr="00526DFA" w:rsidP="00526DFA">
            <w:pPr>
              <w:pStyle w:val="ListBullet2"/>
            </w:pPr>
            <w:r w:rsidRPr="00526DFA">
              <w:t>overhead conductors</w:t>
            </w:r>
          </w:p>
          <w:p w:rsidR="00000000" w:rsidRPr="00526DFA" w:rsidP="00526DFA">
            <w:pPr>
              <w:pStyle w:val="ListBullet2"/>
            </w:pPr>
            <w:r w:rsidRPr="00526DFA">
              <w:t>conductor material</w:t>
            </w:r>
          </w:p>
          <w:p w:rsidR="00000000" w:rsidRPr="00526DFA" w:rsidP="00526DFA">
            <w:pPr>
              <w:pStyle w:val="ListBullet2"/>
            </w:pPr>
            <w:r w:rsidRPr="00526DFA">
              <w:t>current rating</w:t>
            </w:r>
            <w:r w:rsidRPr="00526DFA">
              <w:t xml:space="preserve"> factors (heating, voltage drops and power losses)</w:t>
            </w:r>
          </w:p>
          <w:p w:rsidR="00000000" w:rsidRPr="00526DFA" w:rsidP="00526DFA">
            <w:pPr>
              <w:pStyle w:val="ListBullet2"/>
            </w:pPr>
            <w:r w:rsidRPr="00526DFA">
              <w:t>aerial bundled cables (HV and low voltage (LV))</w:t>
            </w:r>
          </w:p>
          <w:p w:rsidR="00000000" w:rsidRPr="00526DFA" w:rsidP="00526DFA">
            <w:pPr>
              <w:pStyle w:val="ListBullet2"/>
            </w:pPr>
            <w:r w:rsidRPr="00526DFA">
              <w:t>covered conductors - characteristics of lines and cables, including the calculation of R, X and B for different arrangements of conductor; typical values for</w:t>
            </w:r>
            <w:r w:rsidRPr="00526DFA">
              <w:t xml:space="preserve"> actual lines; transposition; models based on line length; voltage and line regulation</w:t>
            </w:r>
          </w:p>
          <w:p w:rsidR="00000000" w:rsidRPr="00526DFA" w:rsidP="00526DFA">
            <w:pPr>
              <w:pStyle w:val="ListBullet2"/>
            </w:pPr>
            <w:r w:rsidRPr="00526DFA">
              <w:t>overhead line poles</w:t>
            </w:r>
          </w:p>
          <w:p w:rsidR="00000000" w:rsidRPr="00526DFA" w:rsidP="00526DFA">
            <w:pPr>
              <w:pStyle w:val="ListBullet2"/>
            </w:pPr>
            <w:r w:rsidRPr="00526DFA">
              <w:t>types (wood, concrete and steel)</w:t>
            </w:r>
          </w:p>
          <w:p w:rsidR="00000000" w:rsidRPr="00526DFA" w:rsidP="00526DFA">
            <w:pPr>
              <w:pStyle w:val="ListBullet2"/>
            </w:pPr>
            <w:r w:rsidRPr="00526DFA">
              <w:t>installation of poles (tooling, rake, life, labelling and sinking)</w:t>
            </w:r>
          </w:p>
          <w:p w:rsidR="00000000" w:rsidRPr="00526DFA" w:rsidP="00526DFA">
            <w:pPr>
              <w:pStyle w:val="ListBullet2"/>
            </w:pPr>
            <w:r w:rsidRPr="00526DFA">
              <w:t>maintenance of poles (above and below ground)</w:t>
            </w:r>
          </w:p>
          <w:p w:rsidR="00000000" w:rsidRPr="00526DFA" w:rsidP="00526DFA">
            <w:pPr>
              <w:pStyle w:val="ListBullet2"/>
            </w:pPr>
            <w:r w:rsidRPr="00526DFA">
              <w:t>pole strength and loads</w:t>
            </w:r>
          </w:p>
          <w:p w:rsidR="00000000" w:rsidRPr="00526DFA" w:rsidP="00526DFA">
            <w:pPr>
              <w:pStyle w:val="ListBullet2"/>
            </w:pPr>
            <w:r w:rsidRPr="00526DFA">
              <w:t>crossarms</w:t>
            </w:r>
          </w:p>
          <w:p w:rsidR="00000000" w:rsidRPr="00526DFA" w:rsidP="00526DFA">
            <w:pPr>
              <w:pStyle w:val="ListBullet2"/>
            </w:pPr>
            <w:r w:rsidRPr="00526DFA">
              <w:t>types and standard sizes</w:t>
            </w:r>
          </w:p>
          <w:p w:rsidR="00000000" w:rsidRPr="00526DFA" w:rsidP="00526DFA">
            <w:pPr>
              <w:pStyle w:val="ListBullet2"/>
            </w:pPr>
            <w:r w:rsidRPr="00526DFA">
              <w:t>insulators</w:t>
            </w:r>
          </w:p>
          <w:p w:rsidR="00000000" w:rsidRPr="00526DFA" w:rsidP="00526DFA">
            <w:pPr>
              <w:pStyle w:val="ListBullet2"/>
            </w:pPr>
            <w:r w:rsidRPr="00526DFA">
              <w:t>insulation types</w:t>
            </w:r>
          </w:p>
          <w:p w:rsidR="00000000" w:rsidRPr="00526DFA" w:rsidP="00526DFA">
            <w:pPr>
              <w:pStyle w:val="ListBullet2"/>
            </w:pPr>
            <w:r w:rsidRPr="00526DFA">
              <w:t>types (pin, suspension or disc and shackle)</w:t>
            </w:r>
          </w:p>
          <w:p w:rsidR="00000000" w:rsidRPr="00526DFA" w:rsidP="00526DFA">
            <w:pPr>
              <w:pStyle w:val="ListBullet2"/>
            </w:pPr>
            <w:r w:rsidRPr="00526DFA">
              <w:t>creepage and necessary clearances</w:t>
            </w:r>
          </w:p>
          <w:p w:rsidR="00000000" w:rsidRPr="00526DFA" w:rsidP="00526DFA">
            <w:pPr>
              <w:pStyle w:val="ListBullet2"/>
            </w:pPr>
            <w:r w:rsidRPr="00526DFA">
              <w:t>arcing horns and insulator mounting</w:t>
            </w:r>
          </w:p>
          <w:p w:rsidR="00000000" w:rsidRPr="00526DFA" w:rsidP="00526DFA">
            <w:pPr>
              <w:pStyle w:val="ListBullet2"/>
            </w:pPr>
            <w:r w:rsidRPr="00526DFA">
              <w:t>structure types</w:t>
            </w:r>
          </w:p>
          <w:p w:rsidR="00000000" w:rsidRPr="00526DFA" w:rsidP="00526DFA">
            <w:pPr>
              <w:pStyle w:val="ListBullet2"/>
            </w:pPr>
            <w:r w:rsidRPr="00526DFA">
              <w:t>mechanical properties (working strength</w:t>
            </w:r>
            <w:r w:rsidRPr="00526DFA">
              <w:t>, maximum tension and limiting size)</w:t>
            </w:r>
          </w:p>
          <w:p w:rsidR="00000000" w:rsidRPr="00526DFA" w:rsidP="00526DFA">
            <w:pPr>
              <w:pStyle w:val="ListBullet2"/>
            </w:pPr>
            <w:r w:rsidRPr="00526DFA">
              <w:t>interpretation of stringing charts</w:t>
            </w:r>
          </w:p>
          <w:p w:rsidR="00000000" w:rsidRPr="00526DFA" w:rsidP="00526DFA">
            <w:pPr>
              <w:pStyle w:val="ListBullet2"/>
            </w:pPr>
            <w:r w:rsidRPr="00526DFA">
              <w:t>determination of sag (by calculations or measurement and/or tension measurement)</w:t>
            </w:r>
          </w:p>
          <w:p w:rsidR="00000000" w:rsidRPr="00526DFA" w:rsidP="00526DFA">
            <w:pPr>
              <w:pStyle w:val="ListBullet2"/>
            </w:pPr>
            <w:r w:rsidRPr="00526DFA">
              <w:t>sight and wave sagging, and sag correction</w:t>
            </w:r>
          </w:p>
          <w:p w:rsidR="00000000" w:rsidRPr="00526DFA" w:rsidP="00526DFA">
            <w:pPr>
              <w:pStyle w:val="ListBullet2"/>
            </w:pPr>
            <w:r w:rsidRPr="00526DFA">
              <w:t>stays</w:t>
            </w:r>
          </w:p>
          <w:p w:rsidR="00000000" w:rsidRPr="00526DFA" w:rsidP="00526DFA">
            <w:pPr>
              <w:pStyle w:val="ListBullet2"/>
            </w:pPr>
            <w:r w:rsidRPr="00526DFA">
              <w:t>components and anchorage</w:t>
            </w:r>
          </w:p>
          <w:p w:rsidR="00000000" w:rsidRPr="00526DFA" w:rsidP="00526DFA">
            <w:pPr>
              <w:pStyle w:val="ListBullet"/>
            </w:pPr>
            <w:r w:rsidRPr="00526DFA">
              <w:t>use of design schedules enco</w:t>
            </w:r>
            <w:r w:rsidRPr="00526DFA">
              <w:t>mpassing:</w:t>
            </w:r>
          </w:p>
          <w:p w:rsidR="00000000" w:rsidRPr="00526DFA" w:rsidP="00526DFA">
            <w:pPr>
              <w:pStyle w:val="ListBullet2"/>
            </w:pPr>
            <w:r w:rsidRPr="00526DFA">
              <w:t>sample design problems - common design practice line, voltage, structure types used, line deviation, span sag, cross-arms, insulators and stays, wind loading and line deviation loading basic surveying</w:t>
            </w:r>
          </w:p>
          <w:p w:rsidR="00000000" w:rsidRPr="00526DFA" w:rsidP="00526DFA">
            <w:pPr>
              <w:pStyle w:val="ListBullet2"/>
            </w:pPr>
            <w:r w:rsidRPr="00526DFA">
              <w:t>measurement of levels, deviation angle and compass bearings</w:t>
            </w:r>
          </w:p>
          <w:p w:rsidR="00000000" w:rsidRPr="00526DFA" w:rsidP="00526DFA">
            <w:pPr>
              <w:pStyle w:val="ListBullet2"/>
            </w:pPr>
            <w:r w:rsidRPr="00526DFA">
              <w:t>perform survey of short distribution line extension of produce field notes</w:t>
            </w:r>
          </w:p>
          <w:p w:rsidR="00000000" w:rsidRPr="00526DFA" w:rsidP="00526DFA">
            <w:pPr>
              <w:pStyle w:val="ListBullet"/>
            </w:pPr>
            <w:r w:rsidRPr="00526DFA">
              <w:t>underground cables encompassing:</w:t>
            </w:r>
          </w:p>
          <w:p w:rsidR="00000000" w:rsidRPr="00526DFA" w:rsidP="00526DFA">
            <w:pPr>
              <w:pStyle w:val="ListBullet2"/>
            </w:pPr>
            <w:r w:rsidRPr="00526DFA">
              <w:t>cable types, ratings, core material, design considerations, cable dielectrics, insulat</w:t>
            </w:r>
            <w:r w:rsidRPr="00526DFA">
              <w:t>ing materials and abbreviations, electric stress, cable voltage drop and voltage drop calculations, cable termination, joints and installation</w:t>
            </w:r>
          </w:p>
          <w:p w:rsidR="00000000" w:rsidRPr="00526DFA" w:rsidP="00526DFA">
            <w:pPr>
              <w:pStyle w:val="ListBullet2"/>
            </w:pPr>
            <w:r w:rsidRPr="00526DFA">
              <w:t>induction and eddy currents</w:t>
            </w:r>
          </w:p>
          <w:p w:rsidR="00000000" w:rsidRPr="00526DFA" w:rsidP="00526DFA">
            <w:pPr>
              <w:pStyle w:val="ListBullet2"/>
            </w:pPr>
            <w:r w:rsidRPr="00526DFA">
              <w:t>cable testing and cable fault location</w:t>
            </w:r>
          </w:p>
          <w:p w:rsidR="00000000" w:rsidRPr="00526DFA" w:rsidP="00526DFA">
            <w:pPr>
              <w:pStyle w:val="ListBullet2"/>
            </w:pPr>
            <w:r w:rsidRPr="00526DFA">
              <w:t>cable drawing</w:t>
            </w:r>
          </w:p>
          <w:p w:rsidR="00000000" w:rsidRPr="00526DFA" w:rsidP="00526DFA">
            <w:pPr>
              <w:pStyle w:val="ListBullet"/>
            </w:pPr>
            <w:r w:rsidRPr="00526DFA">
              <w:t xml:space="preserve">voltage regulations of feeders </w:t>
            </w:r>
            <w:r w:rsidRPr="00526DFA">
              <w:t>and associated equipment encompassing:</w:t>
            </w:r>
          </w:p>
          <w:p w:rsidR="00000000" w:rsidRPr="00526DFA" w:rsidP="00526DFA">
            <w:pPr>
              <w:pStyle w:val="ListBullet2"/>
            </w:pPr>
            <w:r w:rsidRPr="00526DFA">
              <w:t>terminology used - distribution system, service line, customer’s terminals, customer voltage, utilisation voltage, base voltage, voltage variation and bandwidth</w:t>
            </w:r>
          </w:p>
          <w:p w:rsidR="00000000" w:rsidRPr="00526DFA" w:rsidP="00526DFA">
            <w:pPr>
              <w:pStyle w:val="ListBullet2"/>
            </w:pPr>
            <w:r w:rsidRPr="00526DFA">
              <w:t>voltage limits and effects of voltage variation</w:t>
            </w:r>
          </w:p>
          <w:p w:rsidR="00000000" w:rsidRPr="00526DFA" w:rsidP="00526DFA">
            <w:pPr>
              <w:pStyle w:val="ListBullet2"/>
            </w:pPr>
            <w:r w:rsidRPr="00526DFA">
              <w:t xml:space="preserve">causes </w:t>
            </w:r>
            <w:r w:rsidRPr="00526DFA">
              <w:t>of variation - inductance, capacitance and reactance of distribution lines, and transformers</w:t>
            </w:r>
          </w:p>
          <w:p w:rsidR="00000000" w:rsidRPr="00526DFA" w:rsidP="00526DFA">
            <w:pPr>
              <w:pStyle w:val="ListBullet2"/>
            </w:pPr>
            <w:r w:rsidRPr="00526DFA">
              <w:t>methods of voltage control - off-load, on-load tap changers, voltage regulating relays, line drop compensation and different types of voltage regulators</w:t>
            </w:r>
          </w:p>
          <w:p w:rsidR="00000000" w:rsidRPr="00526DFA" w:rsidP="00526DFA">
            <w:pPr>
              <w:pStyle w:val="ListBullet2"/>
            </w:pPr>
            <w:r w:rsidRPr="00526DFA">
              <w:t>voltage profiles - principles, effect on voltage profiles, limits of voltage, voltage drops due to LV mains transformers, tap-settings feeder and service lines</w:t>
            </w:r>
          </w:p>
          <w:p w:rsidR="00000000" w:rsidRPr="00526DFA" w:rsidP="00526DFA">
            <w:pPr>
              <w:pStyle w:val="ListBullet2"/>
            </w:pPr>
            <w:r w:rsidRPr="00526DFA">
              <w:t>determining voltage drops for components within the profile</w:t>
            </w:r>
          </w:p>
          <w:p w:rsidR="00000000" w:rsidRPr="00526DFA" w:rsidP="00526DFA">
            <w:pPr>
              <w:pStyle w:val="ListBullet"/>
            </w:pPr>
            <w:r w:rsidRPr="00526DFA">
              <w:t>control of voltage - conditions lea</w:t>
            </w:r>
            <w:r w:rsidRPr="00526DFA">
              <w:t>ding to voltage collapse and system disintegration; effects on the system of HV/LV; and voltage control devices encompassing:</w:t>
            </w:r>
          </w:p>
          <w:p w:rsidR="00000000" w:rsidRPr="00526DFA" w:rsidP="00526DFA">
            <w:pPr>
              <w:pStyle w:val="ListBullet2"/>
            </w:pPr>
            <w:r w:rsidRPr="00526DFA">
              <w:t>voltage regulators applied to generators and synchronous phase modifiers</w:t>
            </w:r>
          </w:p>
          <w:p w:rsidR="00000000" w:rsidRPr="00526DFA" w:rsidP="00526DFA">
            <w:pPr>
              <w:pStyle w:val="ListBullet2"/>
            </w:pPr>
            <w:r w:rsidRPr="00526DFA">
              <w:t>electromagnetic voltage regulators</w:t>
            </w:r>
          </w:p>
          <w:p w:rsidR="00000000" w:rsidRPr="00526DFA" w:rsidP="00526DFA">
            <w:pPr>
              <w:pStyle w:val="ListBullet2"/>
            </w:pPr>
            <w:r w:rsidRPr="00526DFA">
              <w:t>series and parallel c</w:t>
            </w:r>
            <w:r w:rsidRPr="00526DFA">
              <w:t>apacitors</w:t>
            </w:r>
          </w:p>
          <w:p w:rsidR="00000000" w:rsidRPr="00526DFA" w:rsidP="00526DFA">
            <w:pPr>
              <w:pStyle w:val="ListBullet2"/>
            </w:pPr>
            <w:r w:rsidRPr="00526DFA">
              <w:t>on-load tap changer (OLTC) transformers and static VAR compensations (SVCs)</w:t>
            </w:r>
          </w:p>
          <w:p w:rsidR="00000000" w:rsidRPr="00526DFA" w:rsidP="00526DFA">
            <w:pPr>
              <w:pStyle w:val="ListBullet"/>
            </w:pPr>
            <w:r w:rsidRPr="00526DFA">
              <w:t>range of devices covered by SVCs encompassing:</w:t>
            </w:r>
          </w:p>
          <w:p w:rsidR="00000000" w:rsidRPr="00526DFA" w:rsidP="00526DFA">
            <w:pPr>
              <w:pStyle w:val="ListBullet2"/>
            </w:pPr>
            <w:r w:rsidRPr="00526DFA">
              <w:t xml:space="preserve">saturated reactor (SR) compensations </w:t>
            </w:r>
          </w:p>
          <w:p w:rsidR="00000000" w:rsidRPr="00526DFA" w:rsidP="00526DFA">
            <w:pPr>
              <w:pStyle w:val="ListBullet2"/>
            </w:pPr>
            <w:r w:rsidRPr="00526DFA">
              <w:t xml:space="preserve">thyristor controlled reactor (TCR) compensators </w:t>
            </w:r>
          </w:p>
          <w:p w:rsidR="00000000" w:rsidRPr="00526DFA" w:rsidP="00526DFA">
            <w:pPr>
              <w:pStyle w:val="ListBullet2"/>
            </w:pPr>
            <w:r w:rsidRPr="00526DFA">
              <w:t xml:space="preserve">combined TCR/TSCs </w:t>
            </w:r>
          </w:p>
          <w:p w:rsidR="00000000" w:rsidRPr="00526DFA" w:rsidP="00526DFA">
            <w:pPr>
              <w:pStyle w:val="ListBullet2"/>
            </w:pPr>
            <w:r w:rsidRPr="00526DFA">
              <w:t>production of wave-form distorting harmonics and control devices</w:t>
            </w:r>
          </w:p>
          <w:p w:rsidR="00000000" w:rsidRPr="00526DFA" w:rsidP="00526DFA">
            <w:pPr>
              <w:pStyle w:val="ListBullet"/>
            </w:pPr>
            <w:r w:rsidRPr="00526DFA">
              <w:t>importance of the location in the system of voltage control devices</w:t>
            </w:r>
          </w:p>
          <w:p w:rsidR="00000000" w:rsidRPr="00526DFA" w:rsidP="00526DFA">
            <w:pPr>
              <w:pStyle w:val="ListBullet"/>
            </w:pPr>
            <w:r w:rsidRPr="00526DFA">
              <w:t>types of communication systems encompassing:</w:t>
            </w:r>
          </w:p>
          <w:p w:rsidR="00000000" w:rsidRPr="00526DFA" w:rsidP="00526DFA">
            <w:pPr>
              <w:pStyle w:val="ListBullet2"/>
            </w:pPr>
            <w:r w:rsidRPr="00526DFA">
              <w:t>telephone, power line carrier, dedicated cable, micro-wave links and fibre o</w:t>
            </w:r>
            <w:r w:rsidRPr="00526DFA">
              <w:t>ptics</w:t>
            </w:r>
          </w:p>
          <w:p w:rsidR="00000000" w:rsidRPr="00526DFA" w:rsidP="00526DFA">
            <w:pPr>
              <w:pStyle w:val="ListBullet2"/>
            </w:pPr>
            <w:r w:rsidRPr="00526DFA">
              <w:t xml:space="preserve"> quantities and signals to be communicated </w:t>
            </w:r>
          </w:p>
          <w:p w:rsidR="00000000" w:rsidRPr="00526DFA" w:rsidP="00526DFA">
            <w:pPr>
              <w:pStyle w:val="ListBullet2"/>
            </w:pPr>
            <w:r w:rsidRPr="00526DFA">
              <w:t>advantages and disadvantages of the various systems</w:t>
            </w:r>
          </w:p>
          <w:p w:rsidR="00000000" w:rsidRPr="00526DFA" w:rsidP="00526DFA">
            <w:pPr>
              <w:pStyle w:val="ListBullet2"/>
            </w:pPr>
            <w:r w:rsidRPr="00526DFA">
              <w:t>equipment requirements</w:t>
            </w:r>
          </w:p>
          <w:p w:rsidR="00000000" w:rsidRPr="00526DFA" w:rsidP="00526DFA">
            <w:pPr>
              <w:pStyle w:val="ListBullet"/>
            </w:pPr>
            <w:r w:rsidRPr="00526DFA">
              <w:t xml:space="preserve">transient over-voltages in power systems encompassing: </w:t>
            </w:r>
          </w:p>
          <w:p w:rsidR="00000000" w:rsidRPr="00526DFA" w:rsidP="00526DFA">
            <w:pPr>
              <w:pStyle w:val="ListBullet2"/>
            </w:pPr>
            <w:r w:rsidRPr="00526DFA">
              <w:t>switching and lightning over-voltages and their effect on different plant</w:t>
            </w:r>
            <w:r w:rsidRPr="00526DFA">
              <w:t xml:space="preserve"> items</w:t>
            </w:r>
          </w:p>
          <w:p w:rsidR="00000000" w:rsidRPr="00526DFA" w:rsidP="00526DFA">
            <w:pPr>
              <w:pStyle w:val="ListBullet2"/>
            </w:pPr>
            <w:r w:rsidRPr="00526DFA">
              <w:t xml:space="preserve">transient over-voltage control and reduction using surge diverters, shield wires and CB control </w:t>
            </w:r>
          </w:p>
          <w:p w:rsidR="00000000" w:rsidRPr="00526DFA" w:rsidP="00526DFA">
            <w:pPr>
              <w:pStyle w:val="ListBullet2"/>
            </w:pPr>
            <w:r w:rsidRPr="00526DFA">
              <w:t>insulation systems, insulation coordination, insulation grading in plant items, bushings and capacitor bushings</w:t>
            </w:r>
          </w:p>
          <w:p w:rsidR="00000000" w:rsidRPr="00526DFA" w:rsidP="00526DFA">
            <w:pPr>
              <w:pStyle w:val="ListBullet"/>
            </w:pPr>
            <w:r w:rsidRPr="00526DFA">
              <w:t>the principles of operation, voltage an</w:t>
            </w:r>
            <w:r w:rsidRPr="00526DFA">
              <w:t>d current range, breaking capacity and field of use of circuit breakers - bulk oil, small oil volume, air break, vacuum and SF6 (double pressure and puffer types)</w:t>
            </w:r>
          </w:p>
          <w:p w:rsidR="00000000" w:rsidRPr="00526DFA" w:rsidP="00526DFA">
            <w:pPr>
              <w:pStyle w:val="ListBullet"/>
            </w:pPr>
            <w:r w:rsidRPr="00526DFA">
              <w:t>the types of isolators in use, such as duo-roll, blade and scissor type</w:t>
            </w:r>
          </w:p>
          <w:p w:rsidR="00000000" w:rsidRPr="00526DFA" w:rsidP="00526DFA">
            <w:pPr>
              <w:pStyle w:val="ListBullet"/>
            </w:pPr>
            <w:r w:rsidRPr="00526DFA">
              <w:t>circuit breaker auxiliary systems encompassing:</w:t>
            </w:r>
          </w:p>
          <w:p w:rsidR="00000000" w:rsidRPr="00526DFA" w:rsidP="00526DFA">
            <w:pPr>
              <w:pStyle w:val="ListBullet2"/>
            </w:pPr>
            <w:r w:rsidRPr="00526DFA">
              <w:t>direct current (d.c.) systems, including battery types, charging and protection systems and earth fault detection systems</w:t>
            </w:r>
          </w:p>
          <w:p w:rsidR="00000000" w:rsidRPr="00526DFA" w:rsidP="00526DFA">
            <w:pPr>
              <w:pStyle w:val="ListBullet2"/>
            </w:pPr>
            <w:r w:rsidRPr="00526DFA">
              <w:t>SF6 conditioning, storage and handling systems.</w:t>
            </w:r>
          </w:p>
        </w:tc>
      </w:tr>
    </w:tbl>
    <w:p w:rsidR="00000000" w:rsidRPr="00526DFA" w:rsidP="00526DFA">
      <w:pPr>
        <w:pStyle w:val="NoPaddingFontSize1"/>
      </w:pPr>
    </w:p>
    <w:p w:rsidR="00000000" w:rsidRPr="00526DFA" w:rsidP="00526DFA">
      <w:pPr>
        <w:pStyle w:val="AllowPageBreak"/>
      </w:pPr>
    </w:p>
    <w:p w:rsidR="00000000" w:rsidRPr="00526DFA" w:rsidP="00526DFA">
      <w:pPr>
        <w:pStyle w:val="Heading1"/>
      </w:pPr>
      <w:bookmarkStart w:id="14" w:name="O_1003738"/>
      <w:bookmarkEnd w:id="14"/>
      <w:r w:rsidRPr="00526DFA">
        <w:t>Assessment Conditions</w:t>
      </w:r>
    </w:p>
    <w:p w:rsidR="00000000" w:rsidRPr="00526DFA" w:rsidP="00526DFA">
      <w:pPr>
        <w:pStyle w:val="Heading1"/>
      </w:pPr>
      <w:bookmarkStart w:id="15" w:name="O_1003741"/>
      <w:bookmarkEnd w:id="15"/>
      <w:r w:rsidRPr="00526DFA">
        <w:t>Links</w:t>
      </w:r>
    </w:p>
    <w:p w:rsidR="00000000" w:rsidRPr="00526DFA" w:rsidP="00BD2BAE">
      <w:pPr>
        <w:pStyle w:val="BodyText"/>
      </w:pPr>
      <w:r w:rsidRPr="00526DFA">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40733C">
        <w:rPr>
          <w:rStyle w:val="Hyperlink"/>
        </w:rPr>
        <w:t>https://vetnet.gov.au/Pages/TrainingDocs.aspx?q=229bace1-b7bc-4653-9300-dffb13ecfad7</w:t>
      </w:r>
      <w:r>
        <w:fldChar w:fldCharType="end"/>
      </w:r>
    </w:p>
    <w:p w:rsidR="00000000" w:rsidRPr="00526DFA" w:rsidP="00526DFA"/>
    <w:sectPr w:rsidSect="00526D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D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DFA" w:rsidRPr="00BD2BAE" w:rsidP="00BD2B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D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BAE" w:rsidP="00526D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D2BAE" w:rsidP="00526D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D2BAE" w:rsidP="00526D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DFA" w:rsidP="00526DFA">
    <w:pPr>
      <w:pStyle w:val="Footer"/>
      <w:framePr w:wrap="around"/>
    </w:pPr>
    <w:r>
      <w:fldChar w:fldCharType="begin"/>
    </w:r>
    <w:r>
      <w:instrText xml:space="preserve"> DOCPROPERTY  Subject  \* MERGEFORMAT </w:instrText>
    </w:r>
    <w:r>
      <w:fldChar w:fldCharType="separate"/>
    </w:r>
    <w:r w:rsidR="00BD2BAE">
      <w:t>Approved</w:t>
    </w:r>
    <w:r w:rsidR="00BD2BAE">
      <w:fldChar w:fldCharType="end"/>
    </w:r>
    <w:r>
      <w:tab/>
      <w:t xml:space="preserve">Page </w:t>
    </w:r>
    <w:r>
      <w:fldChar w:fldCharType="begin"/>
    </w:r>
    <w:r>
      <w:instrText xml:space="preserve"> PAGE  \* Arabic  \* MERGEFORMAT </w:instrText>
    </w:r>
    <w:r>
      <w:fldChar w:fldCharType="separate"/>
    </w:r>
    <w:r w:rsidR="00BD2BA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2BAE">
      <w:rPr>
        <w:noProof/>
      </w:rPr>
      <w:t>6</w:t>
    </w:r>
    <w:r>
      <w:rPr>
        <w:noProof/>
      </w:rPr>
      <w:fldChar w:fldCharType="end"/>
    </w:r>
  </w:p>
  <w:p w:rsidR="00526DFA" w:rsidP="00526DFA">
    <w:pPr>
      <w:pStyle w:val="Footer"/>
      <w:framePr w:wrap="around"/>
    </w:pPr>
    <w:r>
      <w:t xml:space="preserve">© Commonwealth of Australia, </w:t>
    </w:r>
    <w:r>
      <w:fldChar w:fldCharType="begin"/>
    </w:r>
    <w:r>
      <w:instrText xml:space="preserve"> DATE  \@ "yyyy"  \* MERGEFORMAT </w:instrText>
    </w:r>
    <w:r>
      <w:fldChar w:fldCharType="separate"/>
    </w:r>
    <w:r w:rsidR="00BD2BAE">
      <w:rPr>
        <w:noProof/>
      </w:rPr>
      <w:t>2025</w:t>
    </w:r>
    <w:r>
      <w:fldChar w:fldCharType="end"/>
    </w:r>
    <w:r>
      <w:tab/>
    </w:r>
    <w:r>
      <w:fldChar w:fldCharType="begin"/>
    </w:r>
    <w:r>
      <w:instrText xml:space="preserve"> DOCPROPERTY  Author  \* MERGEFORMAT </w:instrText>
    </w:r>
    <w:r>
      <w:fldChar w:fldCharType="separate"/>
    </w:r>
    <w:r w:rsidR="00BD2BAE">
      <w:t>Powering Skills Organisation</w:t>
    </w:r>
    <w:r w:rsidR="00BD2BAE">
      <w:fldChar w:fldCharType="end"/>
    </w:r>
  </w:p>
  <w:p w:rsidR="00526DFA" w:rsidP="00526D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D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B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6DFA" w:rsidRPr="00BD2BAE" w:rsidP="00BD2B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D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BAE" w:rsidRPr="002D2AF8" w:rsidP="00526DFA">
    <w:pPr>
      <w:pStyle w:val="Header"/>
      <w:framePr w:wrap="around"/>
    </w:pPr>
    <w:r>
      <w:fldChar w:fldCharType="begin"/>
    </w:r>
    <w:r>
      <w:instrText xml:space="preserve"> TITLE   \* MERGEFORMAT </w:instrText>
    </w:r>
    <w:r>
      <w:fldChar w:fldCharType="separate"/>
    </w:r>
    <w:r>
      <w:t>UETTDRIS70 Diagnose and rectify faults in electrical energy distribution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2BAE" w:rsidP="00526D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DFA" w:rsidRPr="002D2AF8" w:rsidP="00526DFA">
    <w:pPr>
      <w:pStyle w:val="Header"/>
      <w:framePr w:wrap="around"/>
    </w:pPr>
    <w:r>
      <w:fldChar w:fldCharType="begin"/>
    </w:r>
    <w:r>
      <w:instrText xml:space="preserve"> TITLE   \* MERGEFORMAT </w:instrText>
    </w:r>
    <w:r>
      <w:fldChar w:fldCharType="separate"/>
    </w:r>
    <w:r w:rsidR="00BD2BAE">
      <w:t>UETTDRIS70 Diagnose and rectify faults in electrical energy distribution systems</w:t>
    </w:r>
    <w:r w:rsidR="00BD2BAE">
      <w:fldChar w:fldCharType="end"/>
    </w:r>
    <w:r>
      <w:tab/>
      <w:t xml:space="preserve">Date this document was generated: </w:t>
    </w:r>
    <w:r>
      <w:fldChar w:fldCharType="begin"/>
    </w:r>
    <w:r>
      <w:instrText xml:space="preserve"> CREATEDATE  \@ "d MMMM yyyy"  \* MERGEFORMAT </w:instrText>
    </w:r>
    <w:r>
      <w:fldChar w:fldCharType="separate"/>
    </w:r>
    <w:r w:rsidR="00BD2BAE">
      <w:rPr>
        <w:noProof/>
      </w:rPr>
      <w:t>2 March 2025</w:t>
    </w:r>
    <w:r>
      <w:fldChar w:fldCharType="end"/>
    </w:r>
  </w:p>
  <w:p w:rsidR="00526DFA" w:rsidP="00526D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B8D1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B675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F887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D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6DFA"/>
    <w:pPr>
      <w:spacing w:before="360" w:after="60"/>
      <w:outlineLvl w:val="0"/>
    </w:pPr>
    <w:rPr>
      <w:sz w:val="32"/>
    </w:rPr>
  </w:style>
  <w:style w:type="paragraph" w:styleId="Heading2">
    <w:name w:val="heading 2"/>
    <w:basedOn w:val="HeadingBase"/>
    <w:next w:val="BodyText"/>
    <w:link w:val="Heading2Char"/>
    <w:qFormat/>
    <w:rsid w:val="00526DFA"/>
    <w:pPr>
      <w:keepLines/>
      <w:spacing w:before="240" w:after="120"/>
      <w:outlineLvl w:val="1"/>
    </w:pPr>
    <w:rPr>
      <w:sz w:val="28"/>
      <w:szCs w:val="40"/>
    </w:rPr>
  </w:style>
  <w:style w:type="paragraph" w:styleId="Heading3">
    <w:name w:val="heading 3"/>
    <w:basedOn w:val="HeadingBase"/>
    <w:next w:val="BodyText"/>
    <w:link w:val="Heading3Char"/>
    <w:qFormat/>
    <w:rsid w:val="00526DFA"/>
    <w:pPr>
      <w:spacing w:before="180" w:after="120"/>
      <w:outlineLvl w:val="2"/>
    </w:pPr>
    <w:rPr>
      <w:spacing w:val="-10"/>
      <w:kern w:val="32"/>
    </w:rPr>
  </w:style>
  <w:style w:type="paragraph" w:styleId="Heading4">
    <w:name w:val="heading 4"/>
    <w:basedOn w:val="HeadingBase"/>
    <w:next w:val="BodyText"/>
    <w:link w:val="Heading4Char"/>
    <w:qFormat/>
    <w:rsid w:val="00526DFA"/>
    <w:pPr>
      <w:spacing w:before="160" w:after="120"/>
      <w:outlineLvl w:val="3"/>
    </w:pPr>
    <w:rPr>
      <w:sz w:val="22"/>
    </w:rPr>
  </w:style>
  <w:style w:type="paragraph" w:styleId="Heading5">
    <w:name w:val="heading 5"/>
    <w:basedOn w:val="HeadingBase"/>
    <w:next w:val="Normal"/>
    <w:link w:val="Heading5Char"/>
    <w:qFormat/>
    <w:rsid w:val="00526DFA"/>
    <w:pPr>
      <w:spacing w:before="80"/>
      <w:outlineLvl w:val="4"/>
    </w:pPr>
    <w:rPr>
      <w:color w:val="918585"/>
      <w:sz w:val="20"/>
    </w:rPr>
  </w:style>
  <w:style w:type="paragraph" w:styleId="Heading6">
    <w:name w:val="heading 6"/>
    <w:basedOn w:val="HeadingBase"/>
    <w:next w:val="Normal"/>
    <w:link w:val="Heading6Char"/>
    <w:qFormat/>
    <w:rsid w:val="00526DFA"/>
    <w:pPr>
      <w:spacing w:before="60"/>
      <w:outlineLvl w:val="5"/>
    </w:pPr>
    <w:rPr>
      <w:color w:val="918585"/>
      <w:sz w:val="20"/>
    </w:rPr>
  </w:style>
  <w:style w:type="paragraph" w:styleId="Heading7">
    <w:name w:val="heading 7"/>
    <w:basedOn w:val="Normal"/>
    <w:next w:val="Normal"/>
    <w:link w:val="Heading7Char"/>
    <w:qFormat/>
    <w:rsid w:val="00526DFA"/>
    <w:pPr>
      <w:ind w:left="720"/>
      <w:outlineLvl w:val="6"/>
    </w:pPr>
    <w:rPr>
      <w:i/>
    </w:rPr>
  </w:style>
  <w:style w:type="paragraph" w:styleId="Heading8">
    <w:name w:val="heading 8"/>
    <w:basedOn w:val="Normal"/>
    <w:next w:val="Normal"/>
    <w:link w:val="Heading8Char"/>
    <w:qFormat/>
    <w:rsid w:val="00526DFA"/>
    <w:pPr>
      <w:ind w:left="720"/>
      <w:outlineLvl w:val="7"/>
    </w:pPr>
    <w:rPr>
      <w:i/>
    </w:rPr>
  </w:style>
  <w:style w:type="paragraph" w:styleId="Heading9">
    <w:name w:val="heading 9"/>
    <w:basedOn w:val="Normal"/>
    <w:next w:val="Normal"/>
    <w:link w:val="Heading9Char"/>
    <w:qFormat/>
    <w:rsid w:val="00526DFA"/>
    <w:pPr>
      <w:ind w:left="720"/>
      <w:outlineLvl w:val="8"/>
    </w:pPr>
    <w:rPr>
      <w:i/>
    </w:rPr>
  </w:style>
  <w:style w:type="character" w:default="1" w:styleId="DefaultParagraphFont">
    <w:name w:val="Default Paragraph Font"/>
    <w:uiPriority w:val="1"/>
    <w:unhideWhenUsed/>
    <w:rsid w:val="00526D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6DFA"/>
  </w:style>
  <w:style w:type="character" w:customStyle="1" w:styleId="Heading1Char">
    <w:name w:val="Heading 1 Char"/>
    <w:basedOn w:val="DefaultParagraphFont"/>
    <w:link w:val="Heading1"/>
    <w:rsid w:val="00526DFA"/>
    <w:rPr>
      <w:rFonts w:ascii="Times New Roman" w:eastAsia="Times New Roman" w:hAnsi="Times New Roman" w:cs="Times New Roman"/>
      <w:b/>
      <w:sz w:val="32"/>
      <w:szCs w:val="20"/>
      <w:lang w:eastAsia="en-US"/>
    </w:rPr>
  </w:style>
  <w:style w:type="paragraph" w:styleId="BodyText">
    <w:name w:val="Body Text"/>
    <w:basedOn w:val="Normal"/>
    <w:link w:val="BodyTextChar"/>
    <w:rsid w:val="00526D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6DFA"/>
    <w:rPr>
      <w:rFonts w:ascii="Times New Roman" w:eastAsia="Times New Roman" w:hAnsi="Times New Roman" w:cs="Times New Roman"/>
      <w:sz w:val="24"/>
      <w:lang w:eastAsia="en-US"/>
    </w:rPr>
  </w:style>
  <w:style w:type="paragraph" w:styleId="ListBullet">
    <w:name w:val="List Bullet"/>
    <w:basedOn w:val="List"/>
    <w:rsid w:val="00526DFA"/>
    <w:pPr>
      <w:numPr>
        <w:numId w:val="12"/>
      </w:numPr>
      <w:tabs>
        <w:tab w:val="clear" w:pos="340"/>
      </w:tabs>
      <w:spacing w:before="40" w:after="40"/>
    </w:pPr>
  </w:style>
  <w:style w:type="character" w:customStyle="1" w:styleId="SpecialBold">
    <w:name w:val="Special Bold"/>
    <w:basedOn w:val="DefaultParagraphFont"/>
    <w:rsid w:val="00526DFA"/>
    <w:rPr>
      <w:b/>
      <w:spacing w:val="0"/>
    </w:rPr>
  </w:style>
  <w:style w:type="paragraph" w:styleId="ListBullet2">
    <w:name w:val="List Bullet 2"/>
    <w:basedOn w:val="List2"/>
    <w:rsid w:val="00526DFA"/>
    <w:pPr>
      <w:numPr>
        <w:numId w:val="13"/>
      </w:numPr>
      <w:tabs>
        <w:tab w:val="clear" w:pos="680"/>
      </w:tabs>
    </w:pPr>
  </w:style>
  <w:style w:type="paragraph" w:customStyle="1" w:styleId="SuperHeading">
    <w:name w:val="SuperHeading"/>
    <w:basedOn w:val="Normal"/>
    <w:rsid w:val="00526DFA"/>
    <w:pPr>
      <w:spacing w:before="240" w:after="120"/>
      <w:outlineLvl w:val="0"/>
    </w:pPr>
    <w:rPr>
      <w:rFonts w:ascii="Times New Roman" w:hAnsi="Times New Roman"/>
      <w:b/>
      <w:sz w:val="32"/>
    </w:rPr>
  </w:style>
  <w:style w:type="paragraph" w:customStyle="1" w:styleId="AllowPageBreak">
    <w:name w:val="AllowPageBreak"/>
    <w:rsid w:val="00526DF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26D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6D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6D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6D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6D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6D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6D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6DFA"/>
    <w:rPr>
      <w:rFonts w:ascii="Courier New" w:eastAsia="Times New Roman" w:hAnsi="Courier New" w:cs="Times New Roman"/>
      <w:i/>
      <w:szCs w:val="20"/>
      <w:lang w:eastAsia="en-US"/>
    </w:rPr>
  </w:style>
  <w:style w:type="paragraph" w:customStyle="1" w:styleId="HeadingBase">
    <w:name w:val="Heading Base"/>
    <w:rsid w:val="00526D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6DFA"/>
    <w:pPr>
      <w:tabs>
        <w:tab w:val="right" w:leader="dot" w:pos="9072"/>
      </w:tabs>
      <w:ind w:left="567"/>
    </w:pPr>
    <w:rPr>
      <w:szCs w:val="22"/>
    </w:rPr>
  </w:style>
  <w:style w:type="paragraph" w:customStyle="1" w:styleId="TOCBase">
    <w:name w:val="TOC Base"/>
    <w:rsid w:val="00526D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6DFA"/>
    <w:pPr>
      <w:tabs>
        <w:tab w:val="right" w:leader="dot" w:pos="9072"/>
      </w:tabs>
      <w:spacing w:before="40" w:after="40"/>
      <w:ind w:left="284"/>
    </w:pPr>
    <w:rPr>
      <w:rFonts w:ascii="Times New Roman" w:hAnsi="Times New Roman"/>
    </w:rPr>
  </w:style>
  <w:style w:type="paragraph" w:styleId="TOC1">
    <w:name w:val="toc 1"/>
    <w:basedOn w:val="TOCBase"/>
    <w:next w:val="Normal"/>
    <w:rsid w:val="00526D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6D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6DFA"/>
    <w:rPr>
      <w:rFonts w:ascii="Times New Roman" w:eastAsia="Times New Roman" w:hAnsi="Times New Roman" w:cs="Times New Roman"/>
      <w:sz w:val="16"/>
      <w:lang w:eastAsia="en-US"/>
    </w:rPr>
  </w:style>
  <w:style w:type="paragraph" w:styleId="Title">
    <w:name w:val="Title"/>
    <w:basedOn w:val="HeadingBase"/>
    <w:link w:val="TitleChar"/>
    <w:qFormat/>
    <w:rsid w:val="00526DFA"/>
    <w:pPr>
      <w:spacing w:before="5040"/>
      <w:jc w:val="center"/>
    </w:pPr>
    <w:rPr>
      <w:sz w:val="48"/>
      <w:szCs w:val="72"/>
      <w:lang w:val="en-US"/>
    </w:rPr>
  </w:style>
  <w:style w:type="character" w:customStyle="1" w:styleId="TitleChar">
    <w:name w:val="Title Char"/>
    <w:basedOn w:val="DefaultParagraphFont"/>
    <w:link w:val="Title"/>
    <w:rsid w:val="00526D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6DFA"/>
    <w:pPr>
      <w:tabs>
        <w:tab w:val="left" w:pos="3600"/>
        <w:tab w:val="left" w:pos="3958"/>
      </w:tabs>
    </w:pPr>
  </w:style>
  <w:style w:type="paragraph" w:styleId="List">
    <w:name w:val="List"/>
    <w:basedOn w:val="BodyText"/>
    <w:next w:val="BodyText"/>
    <w:rsid w:val="00526DFA"/>
    <w:pPr>
      <w:tabs>
        <w:tab w:val="left" w:pos="340"/>
      </w:tabs>
      <w:spacing w:before="60" w:after="60"/>
      <w:ind w:left="340" w:hanging="340"/>
    </w:pPr>
  </w:style>
  <w:style w:type="paragraph" w:customStyle="1" w:styleId="Note">
    <w:name w:val="Note"/>
    <w:basedOn w:val="BodyText"/>
    <w:rsid w:val="00526D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6DFA"/>
    <w:pPr>
      <w:framePr w:wrap="auto" w:hAnchor="text" w:y="6049"/>
    </w:pPr>
    <w:rPr>
      <w:color w:val="000000"/>
      <w:sz w:val="40"/>
    </w:rPr>
  </w:style>
  <w:style w:type="paragraph" w:customStyle="1" w:styleId="TOCTitle">
    <w:name w:val="TOCTitle"/>
    <w:basedOn w:val="Heading1"/>
    <w:rsid w:val="00526DFA"/>
    <w:pPr>
      <w:spacing w:after="240"/>
      <w:jc w:val="center"/>
      <w:outlineLvl w:val="9"/>
    </w:pPr>
    <w:rPr>
      <w:caps/>
    </w:rPr>
  </w:style>
  <w:style w:type="paragraph" w:customStyle="1" w:styleId="Version">
    <w:name w:val="Version"/>
    <w:rsid w:val="00526D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6DFA"/>
    <w:pPr>
      <w:keepNext w:val="0"/>
      <w:tabs>
        <w:tab w:val="right" w:pos="4176"/>
      </w:tabs>
      <w:ind w:left="198" w:hanging="198"/>
    </w:pPr>
    <w:rPr>
      <w:rFonts w:ascii="Garamond" w:hAnsi="Garamond"/>
    </w:rPr>
  </w:style>
  <w:style w:type="paragraph" w:styleId="IndexHeading">
    <w:name w:val="index heading"/>
    <w:basedOn w:val="Normal"/>
    <w:next w:val="Index1"/>
    <w:semiHidden/>
    <w:rsid w:val="00526DFA"/>
    <w:pPr>
      <w:spacing w:before="120" w:after="120"/>
    </w:pPr>
    <w:rPr>
      <w:rFonts w:ascii="Arial" w:hAnsi="Arial"/>
      <w:b/>
      <w:color w:val="918585"/>
      <w:sz w:val="24"/>
    </w:rPr>
  </w:style>
  <w:style w:type="paragraph" w:styleId="Header">
    <w:name w:val="header"/>
    <w:basedOn w:val="Normal"/>
    <w:link w:val="HeaderChar"/>
    <w:rsid w:val="00526D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6DFA"/>
    <w:rPr>
      <w:rFonts w:ascii="Times New Roman" w:eastAsia="Times New Roman" w:hAnsi="Times New Roman" w:cs="Times New Roman"/>
      <w:sz w:val="16"/>
      <w:szCs w:val="20"/>
      <w:lang w:val="en-GB" w:eastAsia="en-US"/>
    </w:rPr>
  </w:style>
  <w:style w:type="paragraph" w:customStyle="1" w:styleId="Chapter">
    <w:name w:val="Chapter"/>
    <w:basedOn w:val="Normal"/>
    <w:rsid w:val="00526DFA"/>
    <w:pPr>
      <w:spacing w:before="240"/>
    </w:pPr>
    <w:rPr>
      <w:rFonts w:ascii="Times New Roman" w:hAnsi="Times New Roman"/>
      <w:smallCaps/>
      <w:spacing w:val="80"/>
      <w:sz w:val="28"/>
    </w:rPr>
  </w:style>
  <w:style w:type="paragraph" w:customStyle="1" w:styleId="InChapter">
    <w:name w:val="InChapter"/>
    <w:basedOn w:val="Heading3"/>
    <w:rsid w:val="00526DFA"/>
    <w:pPr>
      <w:spacing w:after="240"/>
      <w:outlineLvl w:val="9"/>
    </w:pPr>
    <w:rPr>
      <w:noProof/>
    </w:rPr>
  </w:style>
  <w:style w:type="paragraph" w:styleId="Index2">
    <w:name w:val="index 2"/>
    <w:basedOn w:val="Normal"/>
    <w:next w:val="Normal"/>
    <w:semiHidden/>
    <w:rsid w:val="00526DFA"/>
    <w:pPr>
      <w:tabs>
        <w:tab w:val="right" w:pos="4176"/>
      </w:tabs>
      <w:ind w:left="568" w:hanging="284"/>
    </w:pPr>
    <w:rPr>
      <w:rFonts w:ascii="Garamond" w:hAnsi="Garamond"/>
    </w:rPr>
  </w:style>
  <w:style w:type="paragraph" w:customStyle="1" w:styleId="Byline">
    <w:name w:val="Byline"/>
    <w:rsid w:val="00526D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6DFA"/>
    <w:pPr>
      <w:tabs>
        <w:tab w:val="clear" w:pos="3600"/>
        <w:tab w:val="clear" w:pos="3958"/>
      </w:tabs>
      <w:jc w:val="right"/>
    </w:pPr>
  </w:style>
  <w:style w:type="character" w:styleId="Emphasis">
    <w:name w:val="Emphasis"/>
    <w:basedOn w:val="DefaultParagraphFont"/>
    <w:qFormat/>
    <w:rsid w:val="00526DFA"/>
    <w:rPr>
      <w:i/>
    </w:rPr>
  </w:style>
  <w:style w:type="paragraph" w:styleId="Caption">
    <w:name w:val="caption"/>
    <w:basedOn w:val="BodyText"/>
    <w:next w:val="Normal"/>
    <w:qFormat/>
    <w:rsid w:val="00526DFA"/>
    <w:pPr>
      <w:framePr w:w="2268" w:hSpace="181" w:vSpace="181" w:wrap="around" w:vAnchor="text" w:hAnchor="page" w:x="1135" w:y="285" w:anchorLock="1"/>
    </w:pPr>
    <w:rPr>
      <w:i/>
    </w:rPr>
  </w:style>
  <w:style w:type="paragraph" w:customStyle="1" w:styleId="MiniTOCTitle">
    <w:name w:val="MiniTOCTitle"/>
    <w:basedOn w:val="Heading4"/>
    <w:rsid w:val="00526DFA"/>
    <w:pPr>
      <w:spacing w:before="240"/>
      <w:outlineLvl w:val="9"/>
    </w:pPr>
    <w:rPr>
      <w:noProof/>
      <w:sz w:val="24"/>
    </w:rPr>
  </w:style>
  <w:style w:type="paragraph" w:customStyle="1" w:styleId="MiniTOCItem">
    <w:name w:val="MiniTOCItem"/>
    <w:basedOn w:val="ListBullet"/>
    <w:rsid w:val="00526DFA"/>
    <w:pPr>
      <w:numPr>
        <w:numId w:val="0"/>
      </w:numPr>
      <w:tabs>
        <w:tab w:val="right" w:leader="dot" w:pos="6521"/>
      </w:tabs>
      <w:spacing w:before="0" w:after="0"/>
    </w:pPr>
  </w:style>
  <w:style w:type="paragraph" w:customStyle="1" w:styleId="TOFTitle">
    <w:name w:val="TOFTitle"/>
    <w:basedOn w:val="TOCTitle"/>
    <w:rsid w:val="00526DFA"/>
  </w:style>
  <w:style w:type="paragraph" w:styleId="TableofFigures">
    <w:name w:val="table of figures"/>
    <w:basedOn w:val="Normal"/>
    <w:next w:val="Normal"/>
    <w:semiHidden/>
    <w:rsid w:val="00526DFA"/>
    <w:pPr>
      <w:tabs>
        <w:tab w:val="right" w:leader="dot" w:pos="9072"/>
      </w:tabs>
      <w:ind w:left="970" w:hanging="403"/>
    </w:pPr>
    <w:rPr>
      <w:rFonts w:ascii="Times New Roman" w:hAnsi="Times New Roman"/>
      <w:b/>
    </w:rPr>
  </w:style>
  <w:style w:type="paragraph" w:styleId="ListNumber">
    <w:name w:val="List Number"/>
    <w:basedOn w:val="List"/>
    <w:rsid w:val="00526DFA"/>
    <w:pPr>
      <w:numPr>
        <w:numId w:val="15"/>
      </w:numPr>
      <w:tabs>
        <w:tab w:val="clear" w:pos="340"/>
      </w:tabs>
    </w:pPr>
  </w:style>
  <w:style w:type="character" w:customStyle="1" w:styleId="WingdingSymbols">
    <w:name w:val="Wingding Symbols"/>
    <w:rsid w:val="00526DFA"/>
    <w:rPr>
      <w:rFonts w:ascii="Wingdings" w:hAnsi="Wingdings"/>
    </w:rPr>
  </w:style>
  <w:style w:type="paragraph" w:customStyle="1" w:styleId="TableHeading">
    <w:name w:val="Table Heading"/>
    <w:basedOn w:val="HeadingBase"/>
    <w:rsid w:val="00526DFA"/>
    <w:pPr>
      <w:keepLines/>
      <w:pBdr>
        <w:bottom w:val="single" w:sz="6" w:space="1" w:color="918585"/>
      </w:pBdr>
      <w:spacing w:before="240"/>
    </w:pPr>
  </w:style>
  <w:style w:type="character" w:customStyle="1" w:styleId="HotSpot">
    <w:name w:val="HotSpot"/>
    <w:rsid w:val="00526DFA"/>
    <w:rPr>
      <w:color w:val="0033CC"/>
      <w:u w:val="none"/>
    </w:rPr>
  </w:style>
  <w:style w:type="paragraph" w:customStyle="1" w:styleId="BodyTextRight">
    <w:name w:val="Body Text Right"/>
    <w:basedOn w:val="BodyText"/>
    <w:rsid w:val="00526DFA"/>
    <w:pPr>
      <w:spacing w:before="0" w:after="0"/>
      <w:jc w:val="right"/>
    </w:pPr>
  </w:style>
  <w:style w:type="paragraph" w:styleId="Index3">
    <w:name w:val="index 3"/>
    <w:basedOn w:val="ListNumber2"/>
    <w:next w:val="Normal"/>
    <w:semiHidden/>
    <w:rsid w:val="00526DFA"/>
    <w:pPr>
      <w:numPr>
        <w:numId w:val="0"/>
      </w:numPr>
      <w:tabs>
        <w:tab w:val="right" w:leader="dot" w:pos="4176"/>
      </w:tabs>
    </w:pPr>
  </w:style>
  <w:style w:type="paragraph" w:styleId="ListNumber2">
    <w:name w:val="List Number 2"/>
    <w:basedOn w:val="List2"/>
    <w:rsid w:val="00526DFA"/>
    <w:pPr>
      <w:numPr>
        <w:numId w:val="10"/>
      </w:numPr>
      <w:tabs>
        <w:tab w:val="clear" w:pos="1060"/>
      </w:tabs>
    </w:pPr>
  </w:style>
  <w:style w:type="paragraph" w:customStyle="1" w:styleId="MarginNote">
    <w:name w:val="Margin Note"/>
    <w:basedOn w:val="BodyText"/>
    <w:rsid w:val="00526D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6D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6D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6DFA"/>
    <w:rPr>
      <w:sz w:val="32"/>
    </w:rPr>
  </w:style>
  <w:style w:type="paragraph" w:customStyle="1" w:styleId="HeadingProcedure">
    <w:name w:val="Heading Procedure"/>
    <w:basedOn w:val="HeadingBase"/>
    <w:next w:val="Normal"/>
    <w:rsid w:val="00526DFA"/>
    <w:pPr>
      <w:tabs>
        <w:tab w:val="left" w:pos="0"/>
      </w:tabs>
      <w:spacing w:before="120" w:after="60"/>
    </w:pPr>
    <w:rPr>
      <w:i/>
      <w:color w:val="918585"/>
      <w:sz w:val="22"/>
    </w:rPr>
  </w:style>
  <w:style w:type="paragraph" w:customStyle="1" w:styleId="TableBodyText">
    <w:name w:val="Table Body Text"/>
    <w:basedOn w:val="BodyText"/>
    <w:rsid w:val="00526DFA"/>
    <w:pPr>
      <w:spacing w:before="60" w:after="60"/>
    </w:pPr>
  </w:style>
  <w:style w:type="paragraph" w:styleId="ListContinue">
    <w:name w:val="List Continue"/>
    <w:basedOn w:val="List"/>
    <w:rsid w:val="00526DFA"/>
    <w:pPr>
      <w:ind w:firstLine="0"/>
    </w:pPr>
  </w:style>
  <w:style w:type="paragraph" w:customStyle="1" w:styleId="ListNote">
    <w:name w:val="List Note"/>
    <w:basedOn w:val="List"/>
    <w:rsid w:val="00526DFA"/>
    <w:pPr>
      <w:pBdr>
        <w:top w:val="single" w:sz="6" w:space="2" w:color="918585"/>
        <w:bottom w:val="single" w:sz="6" w:space="2" w:color="918585"/>
      </w:pBdr>
      <w:tabs>
        <w:tab w:val="left" w:pos="1021"/>
      </w:tabs>
      <w:ind w:firstLine="0"/>
    </w:pPr>
  </w:style>
  <w:style w:type="paragraph" w:customStyle="1" w:styleId="Warning">
    <w:name w:val="Warning"/>
    <w:basedOn w:val="BodyText"/>
    <w:rsid w:val="00526DFA"/>
    <w:pPr>
      <w:shd w:val="clear" w:color="auto" w:fill="D9D9D9"/>
      <w:tabs>
        <w:tab w:val="left" w:pos="992"/>
      </w:tabs>
      <w:ind w:left="119" w:right="119"/>
    </w:pPr>
    <w:rPr>
      <w:sz w:val="20"/>
    </w:rPr>
  </w:style>
  <w:style w:type="paragraph" w:customStyle="1" w:styleId="MarginIcons">
    <w:name w:val="Margin Icons"/>
    <w:basedOn w:val="BodyText"/>
    <w:rsid w:val="00526D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6DFA"/>
    <w:rPr>
      <w:rFonts w:ascii="Courier New" w:hAnsi="Courier New"/>
    </w:rPr>
  </w:style>
  <w:style w:type="paragraph" w:customStyle="1" w:styleId="NoteBullet">
    <w:name w:val="Note Bullet"/>
    <w:basedOn w:val="Note"/>
    <w:rsid w:val="00526DFA"/>
    <w:pPr>
      <w:tabs>
        <w:tab w:val="clear" w:pos="680"/>
      </w:tabs>
      <w:spacing w:before="60" w:after="60"/>
    </w:pPr>
  </w:style>
  <w:style w:type="paragraph" w:customStyle="1" w:styleId="SubHeading2">
    <w:name w:val="SubHeading2"/>
    <w:basedOn w:val="HeadingBase"/>
    <w:rsid w:val="00526DFA"/>
    <w:pPr>
      <w:spacing w:before="240" w:after="60"/>
    </w:pPr>
    <w:rPr>
      <w:sz w:val="20"/>
    </w:rPr>
  </w:style>
  <w:style w:type="paragraph" w:customStyle="1" w:styleId="SubHeading1">
    <w:name w:val="SubHeading1"/>
    <w:basedOn w:val="HeadingBase"/>
    <w:rsid w:val="00526DFA"/>
    <w:pPr>
      <w:spacing w:before="240" w:after="60"/>
    </w:pPr>
    <w:rPr>
      <w:color w:val="918585"/>
      <w:sz w:val="22"/>
    </w:rPr>
  </w:style>
  <w:style w:type="paragraph" w:customStyle="1" w:styleId="SideHeading">
    <w:name w:val="Side Heading"/>
    <w:basedOn w:val="HeadingBase"/>
    <w:rsid w:val="00526D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6DFA"/>
    <w:pPr>
      <w:tabs>
        <w:tab w:val="num" w:pos="360"/>
      </w:tabs>
    </w:pPr>
  </w:style>
  <w:style w:type="paragraph" w:styleId="PlainText">
    <w:name w:val="Plain Text"/>
    <w:basedOn w:val="Normal"/>
    <w:link w:val="PlainTextChar"/>
    <w:rsid w:val="00526DFA"/>
    <w:rPr>
      <w:sz w:val="20"/>
    </w:rPr>
  </w:style>
  <w:style w:type="character" w:customStyle="1" w:styleId="PlainTextChar">
    <w:name w:val="Plain Text Char"/>
    <w:basedOn w:val="DefaultParagraphFont"/>
    <w:link w:val="PlainText"/>
    <w:rsid w:val="00526DFA"/>
    <w:rPr>
      <w:rFonts w:ascii="Courier New" w:eastAsia="Times New Roman" w:hAnsi="Courier New" w:cs="Times New Roman"/>
      <w:sz w:val="20"/>
      <w:szCs w:val="20"/>
      <w:lang w:eastAsia="en-US"/>
    </w:rPr>
  </w:style>
  <w:style w:type="character" w:customStyle="1" w:styleId="MenuOption">
    <w:name w:val="Menu Option"/>
    <w:basedOn w:val="DefaultParagraphFont"/>
    <w:rsid w:val="00526DFA"/>
    <w:rPr>
      <w:b/>
      <w:smallCaps/>
    </w:rPr>
  </w:style>
  <w:style w:type="paragraph" w:customStyle="1" w:styleId="TableListNumber">
    <w:name w:val="Table List Number"/>
    <w:basedOn w:val="ListNumber"/>
    <w:rsid w:val="00526DFA"/>
    <w:pPr>
      <w:numPr>
        <w:numId w:val="0"/>
      </w:numPr>
    </w:pPr>
  </w:style>
  <w:style w:type="paragraph" w:styleId="TOC4">
    <w:name w:val="toc 4"/>
    <w:basedOn w:val="TOCBase"/>
    <w:next w:val="Normal"/>
    <w:semiHidden/>
    <w:rsid w:val="00526DFA"/>
    <w:pPr>
      <w:tabs>
        <w:tab w:val="right" w:leader="dot" w:pos="9071"/>
      </w:tabs>
      <w:ind w:left="1701"/>
    </w:pPr>
  </w:style>
  <w:style w:type="paragraph" w:customStyle="1" w:styleId="ListAlpha">
    <w:name w:val="List Alpha"/>
    <w:basedOn w:val="List"/>
    <w:rsid w:val="00526DFA"/>
    <w:pPr>
      <w:numPr>
        <w:numId w:val="9"/>
      </w:numPr>
    </w:pPr>
  </w:style>
  <w:style w:type="paragraph" w:customStyle="1" w:styleId="ListAlpha2">
    <w:name w:val="List Alpha 2"/>
    <w:basedOn w:val="List2"/>
    <w:rsid w:val="00526DFA"/>
    <w:pPr>
      <w:numPr>
        <w:numId w:val="8"/>
      </w:numPr>
    </w:pPr>
  </w:style>
  <w:style w:type="paragraph" w:styleId="List2">
    <w:name w:val="List 2"/>
    <w:basedOn w:val="BodyText"/>
    <w:rsid w:val="00526DFA"/>
    <w:pPr>
      <w:tabs>
        <w:tab w:val="left" w:pos="680"/>
      </w:tabs>
      <w:spacing w:before="60" w:after="60"/>
      <w:ind w:left="680" w:hanging="340"/>
    </w:pPr>
  </w:style>
  <w:style w:type="paragraph" w:styleId="List3">
    <w:name w:val="List 3"/>
    <w:basedOn w:val="BodyText"/>
    <w:rsid w:val="00526DFA"/>
    <w:pPr>
      <w:tabs>
        <w:tab w:val="left" w:pos="1021"/>
      </w:tabs>
      <w:spacing w:before="60" w:after="60"/>
      <w:ind w:left="1020" w:hanging="340"/>
    </w:pPr>
  </w:style>
  <w:style w:type="paragraph" w:styleId="List4">
    <w:name w:val="List 4"/>
    <w:basedOn w:val="BodyText"/>
    <w:rsid w:val="00526DFA"/>
    <w:pPr>
      <w:tabs>
        <w:tab w:val="left" w:pos="1361"/>
      </w:tabs>
      <w:spacing w:before="60" w:after="60"/>
      <w:ind w:left="1361" w:hanging="340"/>
    </w:pPr>
  </w:style>
  <w:style w:type="paragraph" w:styleId="List5">
    <w:name w:val="List 5"/>
    <w:basedOn w:val="BodyText"/>
    <w:rsid w:val="00526DFA"/>
    <w:pPr>
      <w:tabs>
        <w:tab w:val="left" w:pos="1701"/>
      </w:tabs>
      <w:spacing w:before="60" w:after="60"/>
      <w:ind w:left="1701" w:hanging="340"/>
    </w:pPr>
  </w:style>
  <w:style w:type="paragraph" w:styleId="ListBullet3">
    <w:name w:val="List Bullet 3"/>
    <w:basedOn w:val="List3"/>
    <w:rsid w:val="00526DFA"/>
    <w:pPr>
      <w:numPr>
        <w:numId w:val="14"/>
      </w:numPr>
      <w:tabs>
        <w:tab w:val="clear" w:pos="1021"/>
      </w:tabs>
      <w:ind w:left="1037" w:hanging="357"/>
    </w:pPr>
  </w:style>
  <w:style w:type="paragraph" w:styleId="ListBullet4">
    <w:name w:val="List Bullet 4"/>
    <w:basedOn w:val="List4"/>
    <w:rsid w:val="00526DFA"/>
    <w:pPr>
      <w:numPr>
        <w:numId w:val="3"/>
      </w:numPr>
      <w:tabs>
        <w:tab w:val="clear" w:pos="1361"/>
      </w:tabs>
    </w:pPr>
  </w:style>
  <w:style w:type="paragraph" w:styleId="ListBullet5">
    <w:name w:val="List Bullet 5"/>
    <w:basedOn w:val="List5"/>
    <w:rsid w:val="00526DFA"/>
    <w:pPr>
      <w:numPr>
        <w:numId w:val="4"/>
      </w:numPr>
    </w:pPr>
  </w:style>
  <w:style w:type="paragraph" w:styleId="ListContinue2">
    <w:name w:val="List Continue 2"/>
    <w:basedOn w:val="List2"/>
    <w:rsid w:val="00526DFA"/>
    <w:pPr>
      <w:ind w:firstLine="0"/>
    </w:pPr>
  </w:style>
  <w:style w:type="paragraph" w:styleId="ListContinue3">
    <w:name w:val="List Continue 3"/>
    <w:basedOn w:val="List3"/>
    <w:rsid w:val="00526DFA"/>
    <w:pPr>
      <w:ind w:left="1021" w:firstLine="0"/>
    </w:pPr>
  </w:style>
  <w:style w:type="paragraph" w:styleId="ListContinue4">
    <w:name w:val="List Continue 4"/>
    <w:basedOn w:val="List4"/>
    <w:rsid w:val="00526DFA"/>
    <w:pPr>
      <w:ind w:firstLine="0"/>
    </w:pPr>
  </w:style>
  <w:style w:type="paragraph" w:styleId="ListContinue5">
    <w:name w:val="List Continue 5"/>
    <w:basedOn w:val="List5"/>
    <w:rsid w:val="00526DFA"/>
    <w:pPr>
      <w:ind w:firstLine="0"/>
    </w:pPr>
  </w:style>
  <w:style w:type="paragraph" w:styleId="ListNumber3">
    <w:name w:val="List Number 3"/>
    <w:basedOn w:val="List3"/>
    <w:rsid w:val="00526DFA"/>
    <w:pPr>
      <w:numPr>
        <w:numId w:val="5"/>
      </w:numPr>
    </w:pPr>
  </w:style>
  <w:style w:type="paragraph" w:styleId="ListNumber4">
    <w:name w:val="List Number 4"/>
    <w:basedOn w:val="List4"/>
    <w:rsid w:val="00526DFA"/>
    <w:pPr>
      <w:numPr>
        <w:numId w:val="6"/>
      </w:numPr>
    </w:pPr>
  </w:style>
  <w:style w:type="paragraph" w:styleId="ListNumber5">
    <w:name w:val="List Number 5"/>
    <w:basedOn w:val="List5"/>
    <w:rsid w:val="00526DFA"/>
    <w:pPr>
      <w:numPr>
        <w:numId w:val="7"/>
      </w:numPr>
    </w:pPr>
  </w:style>
  <w:style w:type="paragraph" w:styleId="BlockText">
    <w:name w:val="Block Text"/>
    <w:basedOn w:val="Normal"/>
    <w:rsid w:val="00526DFA"/>
    <w:pPr>
      <w:spacing w:after="120"/>
      <w:ind w:left="1440" w:right="1440"/>
    </w:pPr>
  </w:style>
  <w:style w:type="character" w:customStyle="1" w:styleId="Subscript">
    <w:name w:val="Subscript"/>
    <w:basedOn w:val="DefaultParagraphFont"/>
    <w:rsid w:val="00526DFA"/>
    <w:rPr>
      <w:sz w:val="16"/>
      <w:vertAlign w:val="subscript"/>
    </w:rPr>
  </w:style>
  <w:style w:type="character" w:customStyle="1" w:styleId="Superscript">
    <w:name w:val="Superscript"/>
    <w:basedOn w:val="DefaultParagraphFont"/>
    <w:rsid w:val="00526DFA"/>
    <w:rPr>
      <w:sz w:val="16"/>
      <w:vertAlign w:val="superscript"/>
    </w:rPr>
  </w:style>
  <w:style w:type="character" w:customStyle="1" w:styleId="Symbols">
    <w:name w:val="Symbols"/>
    <w:basedOn w:val="DefaultParagraphFont"/>
    <w:rsid w:val="00526DFA"/>
    <w:rPr>
      <w:rFonts w:ascii="Symbol" w:hAnsi="Symbol"/>
    </w:rPr>
  </w:style>
  <w:style w:type="character" w:customStyle="1" w:styleId="MenuOptions">
    <w:name w:val="Menu Options"/>
    <w:basedOn w:val="DefaultParagraphFont"/>
    <w:rsid w:val="00526DFA"/>
    <w:rPr>
      <w:rFonts w:ascii="Arial Narrow" w:hAnsi="Arial Narrow"/>
      <w:smallCaps/>
    </w:rPr>
  </w:style>
  <w:style w:type="character" w:customStyle="1" w:styleId="Buttons">
    <w:name w:val="Buttons"/>
    <w:basedOn w:val="DefaultParagraphFont"/>
    <w:rsid w:val="00526DFA"/>
    <w:rPr>
      <w:b/>
    </w:rPr>
  </w:style>
  <w:style w:type="character" w:customStyle="1" w:styleId="Underlined">
    <w:name w:val="Underlined"/>
    <w:basedOn w:val="DefaultParagraphFont"/>
    <w:rsid w:val="00526DFA"/>
    <w:rPr>
      <w:u w:val="single"/>
    </w:rPr>
  </w:style>
  <w:style w:type="paragraph" w:customStyle="1" w:styleId="TableBodyTextRight">
    <w:name w:val="Table Body Text Right"/>
    <w:basedOn w:val="TableBodyText"/>
    <w:rsid w:val="00526DFA"/>
    <w:pPr>
      <w:widowControl w:val="0"/>
      <w:autoSpaceDE w:val="0"/>
      <w:autoSpaceDN w:val="0"/>
      <w:adjustRightInd w:val="0"/>
      <w:jc w:val="right"/>
    </w:pPr>
    <w:rPr>
      <w:rFonts w:cs="Arial"/>
      <w:szCs w:val="18"/>
    </w:rPr>
  </w:style>
  <w:style w:type="paragraph" w:customStyle="1" w:styleId="CopyrightText">
    <w:name w:val="Copyright Text"/>
    <w:basedOn w:val="BodyText"/>
    <w:rsid w:val="00526DFA"/>
    <w:rPr>
      <w:sz w:val="18"/>
    </w:rPr>
  </w:style>
  <w:style w:type="paragraph" w:customStyle="1" w:styleId="BodySmallRight">
    <w:name w:val="Body Small Right"/>
    <w:basedOn w:val="BodyTextRight"/>
    <w:rsid w:val="00526DFA"/>
    <w:rPr>
      <w:sz w:val="18"/>
      <w:szCs w:val="18"/>
    </w:rPr>
  </w:style>
  <w:style w:type="paragraph" w:customStyle="1" w:styleId="MarginEdition">
    <w:name w:val="Margin Edition"/>
    <w:basedOn w:val="MarginNote"/>
    <w:rsid w:val="00526DFA"/>
    <w:pPr>
      <w:spacing w:before="0" w:after="0"/>
    </w:pPr>
    <w:rPr>
      <w:rFonts w:ascii="Times New Roman" w:hAnsi="Times New Roman"/>
      <w:color w:val="999999"/>
    </w:rPr>
  </w:style>
  <w:style w:type="paragraph" w:customStyle="1" w:styleId="Spacer">
    <w:name w:val="Spacer"/>
    <w:basedOn w:val="Normal"/>
    <w:rsid w:val="00526DFA"/>
    <w:rPr>
      <w:sz w:val="2"/>
      <w:szCs w:val="2"/>
    </w:rPr>
  </w:style>
  <w:style w:type="character" w:customStyle="1" w:styleId="Small">
    <w:name w:val="Small"/>
    <w:basedOn w:val="DefaultParagraphFont"/>
    <w:rsid w:val="00526DFA"/>
    <w:rPr>
      <w:sz w:val="16"/>
    </w:rPr>
  </w:style>
  <w:style w:type="paragraph" w:customStyle="1" w:styleId="WideTable">
    <w:name w:val="Wide Table"/>
    <w:basedOn w:val="Normal"/>
    <w:rsid w:val="00526DFA"/>
    <w:pPr>
      <w:ind w:left="-1418"/>
    </w:pPr>
    <w:rPr>
      <w:sz w:val="2"/>
      <w:szCs w:val="2"/>
    </w:rPr>
  </w:style>
  <w:style w:type="character" w:styleId="PageNumber">
    <w:name w:val="page number"/>
    <w:basedOn w:val="DefaultParagraphFont"/>
    <w:rsid w:val="00526DFA"/>
  </w:style>
  <w:style w:type="paragraph" w:styleId="Quote">
    <w:name w:val="Quote"/>
    <w:basedOn w:val="Heading1"/>
    <w:link w:val="QuoteChar"/>
    <w:qFormat/>
    <w:rsid w:val="00526DFA"/>
    <w:rPr>
      <w:b w:val="0"/>
      <w:sz w:val="72"/>
      <w:szCs w:val="72"/>
      <w:lang w:val="en-NZ"/>
    </w:rPr>
  </w:style>
  <w:style w:type="character" w:customStyle="1" w:styleId="QuoteChar">
    <w:name w:val="Quote Char"/>
    <w:basedOn w:val="DefaultParagraphFont"/>
    <w:link w:val="Quote"/>
    <w:rsid w:val="00526D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6DFA"/>
    <w:pPr>
      <w:pageBreakBefore/>
    </w:pPr>
  </w:style>
  <w:style w:type="paragraph" w:customStyle="1" w:styleId="Border">
    <w:name w:val="Border"/>
    <w:basedOn w:val="Normal"/>
    <w:qFormat/>
    <w:rsid w:val="00526D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6DFA"/>
    <w:rPr>
      <w:b/>
      <w:bCs/>
      <w:i/>
      <w:iCs/>
      <w:color w:val="auto"/>
    </w:rPr>
  </w:style>
  <w:style w:type="paragraph" w:styleId="IntenseQuote">
    <w:name w:val="Intense Quote"/>
    <w:basedOn w:val="Normal"/>
    <w:next w:val="Normal"/>
    <w:link w:val="IntenseQuoteChar"/>
    <w:uiPriority w:val="30"/>
    <w:qFormat/>
    <w:rsid w:val="00526D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6D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6DFA"/>
    <w:rPr>
      <w:smallCaps/>
      <w:color w:val="auto"/>
      <w:u w:val="single"/>
    </w:rPr>
  </w:style>
  <w:style w:type="character" w:styleId="IntenseReference">
    <w:name w:val="Intense Reference"/>
    <w:basedOn w:val="DefaultParagraphFont"/>
    <w:uiPriority w:val="32"/>
    <w:qFormat/>
    <w:rsid w:val="00526DFA"/>
    <w:rPr>
      <w:b/>
      <w:bCs/>
      <w:smallCaps/>
      <w:color w:val="auto"/>
      <w:spacing w:val="5"/>
      <w:u w:val="single"/>
    </w:rPr>
  </w:style>
  <w:style w:type="paragraph" w:customStyle="1" w:styleId="2ColumnHeading">
    <w:name w:val="2Column Heading"/>
    <w:basedOn w:val="BodyText"/>
    <w:qFormat/>
    <w:rsid w:val="00526DFA"/>
    <w:pPr>
      <w:spacing w:after="60"/>
      <w:ind w:left="-2268"/>
    </w:pPr>
    <w:rPr>
      <w:b/>
    </w:rPr>
  </w:style>
  <w:style w:type="paragraph" w:customStyle="1" w:styleId="Heading1TOC">
    <w:name w:val="Heading1 TOC"/>
    <w:basedOn w:val="Normal"/>
    <w:qFormat/>
    <w:rsid w:val="00526DFA"/>
    <w:pPr>
      <w:spacing w:before="240" w:after="120"/>
    </w:pPr>
    <w:rPr>
      <w:rFonts w:ascii="Times New Roman" w:hAnsi="Times New Roman"/>
      <w:b/>
      <w:sz w:val="32"/>
    </w:rPr>
  </w:style>
  <w:style w:type="paragraph" w:customStyle="1" w:styleId="Heading2TOC">
    <w:name w:val="Heading2 TOC"/>
    <w:basedOn w:val="Normal"/>
    <w:qFormat/>
    <w:rsid w:val="00526DFA"/>
    <w:pPr>
      <w:spacing w:before="240" w:after="60"/>
    </w:pPr>
    <w:rPr>
      <w:rFonts w:ascii="Times New Roman" w:hAnsi="Times New Roman"/>
      <w:b/>
      <w:sz w:val="28"/>
    </w:rPr>
  </w:style>
  <w:style w:type="character" w:customStyle="1" w:styleId="Underline">
    <w:name w:val="Underline"/>
    <w:basedOn w:val="DefaultParagraphFont"/>
    <w:qFormat/>
    <w:rsid w:val="00526DFA"/>
    <w:rPr>
      <w:u w:val="single"/>
    </w:rPr>
  </w:style>
  <w:style w:type="character" w:customStyle="1" w:styleId="BoldandItalics">
    <w:name w:val="Bold and Italics"/>
    <w:qFormat/>
    <w:rsid w:val="00526DFA"/>
    <w:rPr>
      <w:b/>
      <w:i/>
      <w:u w:val="none"/>
    </w:rPr>
  </w:style>
  <w:style w:type="paragraph" w:styleId="BalloonText">
    <w:name w:val="Balloon Text"/>
    <w:basedOn w:val="Normal"/>
    <w:link w:val="BalloonTextChar"/>
    <w:rsid w:val="00526DFA"/>
    <w:rPr>
      <w:rFonts w:ascii="Tahoma" w:hAnsi="Tahoma" w:cs="Tahoma"/>
      <w:sz w:val="16"/>
      <w:szCs w:val="16"/>
    </w:rPr>
  </w:style>
  <w:style w:type="character" w:customStyle="1" w:styleId="BalloonTextChar">
    <w:name w:val="Balloon Text Char"/>
    <w:basedOn w:val="DefaultParagraphFont"/>
    <w:link w:val="BalloonText"/>
    <w:rsid w:val="00526D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6D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6D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6DFA"/>
    <w:rPr>
      <w:b/>
      <w:color w:val="660033"/>
      <w:spacing w:val="0"/>
    </w:rPr>
  </w:style>
  <w:style w:type="paragraph" w:customStyle="1" w:styleId="Nameditemlist">
    <w:name w:val="Named item list"/>
    <w:basedOn w:val="BodyText"/>
    <w:qFormat/>
    <w:rsid w:val="00526DFA"/>
    <w:pPr>
      <w:tabs>
        <w:tab w:val="left" w:pos="2835"/>
      </w:tabs>
      <w:ind w:left="2835" w:hanging="2835"/>
    </w:pPr>
  </w:style>
  <w:style w:type="paragraph" w:customStyle="1" w:styleId="BodyTextnopadding">
    <w:name w:val="Body Text no padding"/>
    <w:basedOn w:val="BodyText"/>
    <w:qFormat/>
    <w:rsid w:val="00526DFA"/>
    <w:pPr>
      <w:spacing w:before="0" w:after="0"/>
    </w:pPr>
  </w:style>
  <w:style w:type="paragraph" w:customStyle="1" w:styleId="BodyTextBold">
    <w:name w:val="Body Text Bold"/>
    <w:basedOn w:val="BodyText"/>
    <w:qFormat/>
    <w:rsid w:val="00526DFA"/>
    <w:rPr>
      <w:b/>
    </w:rPr>
  </w:style>
  <w:style w:type="character" w:styleId="Hyperlink">
    <w:name w:val="Hyperlink"/>
    <w:basedOn w:val="DefaultParagraphFont"/>
    <w:uiPriority w:val="99"/>
    <w:unhideWhenUsed/>
    <w:rsid w:val="00BD2B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1720</Words>
  <Characters>11165</Characters>
  <Application>Microsoft Office Word</Application>
  <DocSecurity>0</DocSecurity>
  <Lines>348</Lines>
  <Paragraphs>222</Paragraphs>
  <ScaleCrop>false</ScaleCrop>
  <Company>Author-it Software Corporation Ltd.</Company>
  <LinksUpToDate>false</LinksUpToDate>
  <CharactersWithSpaces>12663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UETTDRIS70 Diagnose and rectify faults in electrical energy distribution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2025-03-01T15:26:00Z</dcterms:created>
  <dcterms:modified xsi:type="dcterms:W3CDTF">2025-03-01T15:26:00Z</dcterms:modified>
</cp:coreProperties>
</file>