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2F9" w:rsidP="00EE22F9">
      <w:pPr>
        <w:pStyle w:val="Title"/>
      </w:pPr>
      <w:r>
        <w:fldChar w:fldCharType="begin"/>
      </w:r>
      <w:r>
        <w:instrText xml:space="preserve"> TITLE   \* MERGEFORMAT </w:instrText>
      </w:r>
      <w:r>
        <w:fldChar w:fldCharType="separate"/>
      </w:r>
      <w:r>
        <w:t>Assessment Requirements for UETTDRIS70 Diagnose and rectify faults in electrical energy distribution systems</w:t>
      </w:r>
      <w:r>
        <w:fldChar w:fldCharType="end"/>
      </w:r>
    </w:p>
    <w:p w:rsidR="00EE22F9" w:rsidP="00EE22F9">
      <w:pPr>
        <w:pStyle w:val="Version"/>
        <w:sectPr w:rsidSect="004033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3C1" w:rsidP="004033C1">
      <w:pPr>
        <w:pStyle w:val="SuperHeading"/>
      </w:pPr>
      <w:r w:rsidRPr="004033C1">
        <w:t>Assessment Requirements for UETTDRIS70 Diagnose and rectify faults in electrical energy distribution systems</w:t>
      </w:r>
    </w:p>
    <w:p w:rsidR="00000000" w:rsidRPr="004033C1" w:rsidP="004033C1">
      <w:pPr>
        <w:pStyle w:val="Heading1"/>
      </w:pPr>
      <w:bookmarkStart w:id="1" w:name="O_1003735"/>
      <w:bookmarkEnd w:id="1"/>
      <w:r w:rsidRPr="004033C1">
        <w:t>Modification History</w:t>
      </w:r>
    </w:p>
    <w:tbl>
      <w:tblPr>
        <w:tblW w:w="9497" w:type="dxa"/>
        <w:tblLayout w:type="fixed"/>
        <w:tblCellMar>
          <w:left w:w="62" w:type="dxa"/>
          <w:right w:w="62" w:type="dxa"/>
        </w:tblCellMar>
        <w:tblLook w:val="0000"/>
      </w:tblPr>
      <w:tblGrid>
        <w:gridCol w:w="9497"/>
      </w:tblGrid>
      <w:tr w:rsidTr="00403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3C1" w:rsidP="004033C1">
            <w:pPr>
              <w:pStyle w:val="BodyText"/>
            </w:pPr>
            <w:r w:rsidRPr="004033C1">
              <w:t>Release 1. This is the first release of this unit of competency in the UET Transmission, Distribution and Rail Sector Training Package.</w:t>
            </w:r>
          </w:p>
        </w:tc>
      </w:tr>
    </w:tbl>
    <w:p w:rsidR="00000000" w:rsidRPr="004033C1" w:rsidP="004033C1">
      <w:pPr>
        <w:pStyle w:val="NoPaddingFontSize1"/>
      </w:pPr>
    </w:p>
    <w:p w:rsidR="00000000" w:rsidRPr="004033C1" w:rsidP="004033C1">
      <w:pPr>
        <w:pStyle w:val="AllowPageBreak"/>
      </w:pPr>
    </w:p>
    <w:p w:rsidR="00000000" w:rsidRPr="004033C1" w:rsidP="004033C1">
      <w:pPr>
        <w:pStyle w:val="Heading1"/>
      </w:pPr>
      <w:bookmarkStart w:id="2" w:name="O_1003736"/>
      <w:bookmarkEnd w:id="2"/>
      <w:r w:rsidRPr="004033C1">
        <w:t>Performance Evidence</w:t>
      </w:r>
    </w:p>
    <w:tbl>
      <w:tblPr>
        <w:tblW w:w="9497" w:type="dxa"/>
        <w:tblLayout w:type="fixed"/>
        <w:tblCellMar>
          <w:left w:w="62" w:type="dxa"/>
          <w:right w:w="62" w:type="dxa"/>
        </w:tblCellMar>
        <w:tblLook w:val="0000"/>
      </w:tblPr>
      <w:tblGrid>
        <w:gridCol w:w="9497"/>
      </w:tblGrid>
      <w:tr w:rsidTr="00403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33C1">
            <w:pPr>
              <w:pStyle w:val="BodyText"/>
              <w:rPr>
                <w:lang w:val="en-NZ"/>
              </w:rPr>
            </w:pPr>
            <w:r w:rsidRPr="004033C1">
              <w:t>Evidence required to demonstrate competence in this unit must be relevant to a</w:t>
            </w:r>
            <w:r w:rsidRPr="004033C1">
              <w:t xml:space="preserve">nd satisfy all of the requirements of the elements and performance criteria on at least two separate occasions and include:  </w:t>
            </w:r>
          </w:p>
        </w:tc>
      </w:tr>
      <w:tr w:rsidTr="00403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3C1" w:rsidP="004033C1">
            <w:pPr>
              <w:pStyle w:val="ListBullet"/>
            </w:pPr>
            <w:r w:rsidRPr="004033C1">
              <w:t>applying relevant work health and safety (WHS)/occupational health and safety (OHS) requirements, including the use of risk cont</w:t>
            </w:r>
            <w:r w:rsidRPr="004033C1">
              <w:t>rol measures</w:t>
            </w:r>
          </w:p>
          <w:p w:rsidR="00000000" w:rsidRPr="004033C1" w:rsidP="004033C1">
            <w:pPr>
              <w:pStyle w:val="ListBullet"/>
            </w:pPr>
            <w:r w:rsidRPr="004033C1">
              <w:t>applying sustainable energy principles and practices</w:t>
            </w:r>
          </w:p>
          <w:p w:rsidR="00000000" w:rsidRPr="004033C1" w:rsidP="004033C1">
            <w:pPr>
              <w:pStyle w:val="ListBullet"/>
            </w:pPr>
            <w:r w:rsidRPr="004033C1">
              <w:t>diagnosing and rectifying faults in electrical energy distribution systems including:</w:t>
            </w:r>
          </w:p>
          <w:p w:rsidR="00000000" w:rsidRPr="004033C1" w:rsidP="004033C1">
            <w:pPr>
              <w:pStyle w:val="ListBullet2"/>
            </w:pPr>
            <w:r w:rsidRPr="004033C1">
              <w:t>applying logical diagnostic methods</w:t>
            </w:r>
          </w:p>
          <w:p w:rsidR="00000000" w:rsidRPr="004033C1" w:rsidP="004033C1">
            <w:pPr>
              <w:pStyle w:val="ListBullet2"/>
            </w:pPr>
            <w:r w:rsidRPr="004033C1">
              <w:t>using fault scenarios to test the cause of system faults</w:t>
            </w:r>
          </w:p>
          <w:p w:rsidR="00000000" w:rsidRPr="004033C1" w:rsidP="004033C1">
            <w:pPr>
              <w:pStyle w:val="ListBullet2"/>
            </w:pPr>
            <w:r w:rsidRPr="004033C1">
              <w:t>identifying faults and competency needed to rectify them</w:t>
            </w:r>
          </w:p>
          <w:p w:rsidR="00000000" w:rsidRPr="004033C1" w:rsidP="004033C1">
            <w:pPr>
              <w:pStyle w:val="ListBullet2"/>
            </w:pPr>
            <w:r w:rsidRPr="004033C1">
              <w:t>rectifying faults in system controls</w:t>
            </w:r>
          </w:p>
          <w:p w:rsidR="00000000" w:rsidRPr="004033C1" w:rsidP="004033C1">
            <w:pPr>
              <w:pStyle w:val="ListBullet2"/>
            </w:pPr>
            <w:r w:rsidRPr="004033C1">
              <w:t>verifying that the system operates correctly</w:t>
            </w:r>
          </w:p>
          <w:p w:rsidR="00000000" w:rsidRPr="004033C1" w:rsidP="004033C1">
            <w:pPr>
              <w:pStyle w:val="ListBullet2"/>
            </w:pPr>
            <w:r w:rsidRPr="004033C1">
              <w:t>documenting fault rectification</w:t>
            </w:r>
          </w:p>
          <w:p w:rsidR="00000000" w:rsidRPr="004033C1" w:rsidP="004033C1">
            <w:pPr>
              <w:pStyle w:val="ListBullet2"/>
            </w:pPr>
            <w:r w:rsidRPr="004033C1">
              <w:t>dealing with unplanned events on at least one occasion.</w:t>
            </w:r>
          </w:p>
          <w:p w:rsidR="00000000" w:rsidRPr="004033C1" w:rsidP="004033C1">
            <w:pPr>
              <w:pStyle w:val="BodyText"/>
            </w:pPr>
            <w:r w:rsidRPr="004033C1">
              <w:t xml:space="preserve">Note: </w:t>
            </w:r>
          </w:p>
          <w:p w:rsidR="00000000" w:rsidRPr="004033C1" w:rsidP="004033C1">
            <w:pPr>
              <w:pStyle w:val="BodyText"/>
            </w:pPr>
            <w:r w:rsidRPr="004033C1">
              <w:t xml:space="preserve">Successful completion </w:t>
            </w:r>
            <w:r w:rsidRPr="004033C1">
              <w:t>of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4033C1" w:rsidP="004033C1">
      <w:pPr>
        <w:pStyle w:val="NoPaddingFontSize1"/>
      </w:pPr>
    </w:p>
    <w:p w:rsidR="00000000" w:rsidRPr="004033C1" w:rsidP="004033C1">
      <w:pPr>
        <w:pStyle w:val="AllowPageBreak"/>
      </w:pPr>
    </w:p>
    <w:p w:rsidR="00000000" w:rsidRPr="004033C1" w:rsidP="004033C1">
      <w:pPr>
        <w:pStyle w:val="Heading1"/>
      </w:pPr>
      <w:bookmarkStart w:id="3" w:name="O_1003737"/>
      <w:bookmarkEnd w:id="3"/>
      <w:r w:rsidRPr="004033C1">
        <w:t>Knowledge Evidence</w:t>
      </w:r>
    </w:p>
    <w:tbl>
      <w:tblPr>
        <w:tblW w:w="9497" w:type="dxa"/>
        <w:tblLayout w:type="fixed"/>
        <w:tblCellMar>
          <w:left w:w="62" w:type="dxa"/>
          <w:right w:w="62" w:type="dxa"/>
        </w:tblCellMar>
        <w:tblLook w:val="0000"/>
      </w:tblPr>
      <w:tblGrid>
        <w:gridCol w:w="9497"/>
      </w:tblGrid>
      <w:tr w:rsidTr="00403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33C1">
            <w:pPr>
              <w:pStyle w:val="BodyText"/>
              <w:rPr>
                <w:lang w:val="en-NZ"/>
              </w:rPr>
            </w:pPr>
            <w:r w:rsidRPr="004033C1">
              <w:t>Evidence required to demonstrate competence in this unit must be relevant to and satisfy all of the requirements of the elements and performance criteria and include knowledge of:</w:t>
            </w:r>
          </w:p>
        </w:tc>
      </w:tr>
      <w:tr w:rsidTr="004033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3C1" w:rsidP="004033C1">
            <w:pPr>
              <w:pStyle w:val="ListBullet"/>
            </w:pPr>
            <w:r w:rsidRPr="004033C1">
              <w:t>distribution system overview encompassing:</w:t>
            </w:r>
          </w:p>
          <w:p w:rsidR="00000000" w:rsidRPr="004033C1" w:rsidP="004033C1">
            <w:pPr>
              <w:pStyle w:val="ListBullet2"/>
            </w:pPr>
            <w:r w:rsidRPr="004033C1">
              <w:t>regulatory conditions of supply and utilisation</w:t>
            </w:r>
          </w:p>
          <w:p w:rsidR="00000000" w:rsidRPr="004033C1" w:rsidP="004033C1">
            <w:pPr>
              <w:pStyle w:val="ListBullet2"/>
            </w:pPr>
            <w:r w:rsidRPr="004033C1">
              <w:t>compliance with Australian Standards</w:t>
            </w:r>
          </w:p>
          <w:p w:rsidR="00000000" w:rsidRPr="004033C1" w:rsidP="004033C1">
            <w:pPr>
              <w:pStyle w:val="ListBullet2"/>
            </w:pPr>
            <w:r w:rsidRPr="004033C1">
              <w:t>reticulation system, including overhead/underground, urban/rural, high voltage (HV) customers and high-rise building systems</w:t>
            </w:r>
          </w:p>
          <w:p w:rsidR="00000000" w:rsidRPr="004033C1" w:rsidP="004033C1">
            <w:pPr>
              <w:pStyle w:val="ListBullet2"/>
            </w:pPr>
            <w:r w:rsidRPr="004033C1">
              <w:t>methods used to ensure continuity of supply</w:t>
            </w:r>
          </w:p>
          <w:p w:rsidR="00000000" w:rsidRPr="004033C1" w:rsidP="004033C1">
            <w:pPr>
              <w:pStyle w:val="ListBullet2"/>
            </w:pPr>
            <w:r w:rsidRPr="004033C1">
              <w:t>ty</w:t>
            </w:r>
            <w:r w:rsidRPr="004033C1">
              <w:t>pes of substations in current use</w:t>
            </w:r>
          </w:p>
          <w:p w:rsidR="00000000" w:rsidRPr="004033C1" w:rsidP="004033C1">
            <w:pPr>
              <w:pStyle w:val="ListBullet2"/>
            </w:pPr>
            <w:r w:rsidRPr="004033C1">
              <w:t>systems of distribution used, (primary and secondary)</w:t>
            </w:r>
          </w:p>
          <w:p w:rsidR="00000000" w:rsidRPr="004033C1" w:rsidP="004033C1">
            <w:pPr>
              <w:pStyle w:val="ListBullet2"/>
            </w:pPr>
            <w:r w:rsidRPr="004033C1">
              <w:t>voltage levels, power factor, wave-form distortion and transient loading</w:t>
            </w:r>
          </w:p>
          <w:p w:rsidR="00000000" w:rsidRPr="004033C1" w:rsidP="004033C1">
            <w:pPr>
              <w:pStyle w:val="ListBullet2"/>
            </w:pPr>
            <w:r w:rsidRPr="004033C1">
              <w:t>supply quality</w:t>
            </w:r>
          </w:p>
          <w:p w:rsidR="00000000" w:rsidRPr="004033C1" w:rsidP="004033C1">
            <w:pPr>
              <w:pStyle w:val="ListBullet2"/>
            </w:pPr>
            <w:r w:rsidRPr="004033C1">
              <w:t>load curve profiles (residential/industrial/commercial)</w:t>
            </w:r>
          </w:p>
          <w:p w:rsidR="00000000" w:rsidRPr="004033C1" w:rsidP="004033C1">
            <w:pPr>
              <w:pStyle w:val="ListBullet2"/>
            </w:pPr>
            <w:r w:rsidRPr="004033C1">
              <w:t>types of feeders</w:t>
            </w:r>
          </w:p>
          <w:p w:rsidR="00000000" w:rsidRPr="004033C1" w:rsidP="004033C1">
            <w:pPr>
              <w:pStyle w:val="ListBullet2"/>
            </w:pPr>
            <w:r w:rsidRPr="004033C1">
              <w:t>distribution systems (urban, rural single-phase systems, single wire earth return (SWER), spur, parallel and ring systems)</w:t>
            </w:r>
          </w:p>
          <w:p w:rsidR="00000000" w:rsidRPr="004033C1" w:rsidP="004033C1">
            <w:pPr>
              <w:pStyle w:val="ListBullet"/>
            </w:pPr>
            <w:r w:rsidRPr="004033C1">
              <w:t>overhead lines and installation encompassing:</w:t>
            </w:r>
          </w:p>
          <w:p w:rsidR="00000000" w:rsidRPr="004033C1" w:rsidP="004033C1">
            <w:pPr>
              <w:pStyle w:val="ListBullet2"/>
            </w:pPr>
            <w:r w:rsidRPr="004033C1">
              <w:t>industry and safety regulations</w:t>
            </w:r>
          </w:p>
          <w:p w:rsidR="00000000" w:rsidRPr="004033C1" w:rsidP="004033C1">
            <w:pPr>
              <w:pStyle w:val="ListBullet2"/>
            </w:pPr>
            <w:r w:rsidRPr="004033C1">
              <w:t>overhead conductors</w:t>
            </w:r>
          </w:p>
          <w:p w:rsidR="00000000" w:rsidRPr="004033C1" w:rsidP="004033C1">
            <w:pPr>
              <w:pStyle w:val="ListBullet2"/>
            </w:pPr>
            <w:r w:rsidRPr="004033C1">
              <w:t>conductor material</w:t>
            </w:r>
          </w:p>
          <w:p w:rsidR="00000000" w:rsidRPr="004033C1" w:rsidP="004033C1">
            <w:pPr>
              <w:pStyle w:val="ListBullet2"/>
            </w:pPr>
            <w:r w:rsidRPr="004033C1">
              <w:t>current rating</w:t>
            </w:r>
            <w:r w:rsidRPr="004033C1">
              <w:t xml:space="preserve"> factors (heating, voltage drops and power losses)</w:t>
            </w:r>
          </w:p>
          <w:p w:rsidR="00000000" w:rsidRPr="004033C1" w:rsidP="004033C1">
            <w:pPr>
              <w:pStyle w:val="ListBullet2"/>
            </w:pPr>
            <w:r w:rsidRPr="004033C1">
              <w:t>aerial bundled cables (HV and low voltage (LV))</w:t>
            </w:r>
          </w:p>
          <w:p w:rsidR="00000000" w:rsidRPr="004033C1" w:rsidP="004033C1">
            <w:pPr>
              <w:pStyle w:val="ListBullet2"/>
            </w:pPr>
            <w:r w:rsidRPr="004033C1">
              <w:t>covered conductors - characteristics of lines and cables, including the calculation of R, X and B for different arrangements of conductor; typical values for</w:t>
            </w:r>
            <w:r w:rsidRPr="004033C1">
              <w:t xml:space="preserve"> actual lines; transposition; models based on line length; voltage and line regulation</w:t>
            </w:r>
          </w:p>
          <w:p w:rsidR="00000000" w:rsidRPr="004033C1" w:rsidP="004033C1">
            <w:pPr>
              <w:pStyle w:val="ListBullet2"/>
            </w:pPr>
            <w:r w:rsidRPr="004033C1">
              <w:t>overhead line poles</w:t>
            </w:r>
          </w:p>
          <w:p w:rsidR="00000000" w:rsidRPr="004033C1" w:rsidP="004033C1">
            <w:pPr>
              <w:pStyle w:val="ListBullet2"/>
            </w:pPr>
            <w:r w:rsidRPr="004033C1">
              <w:t>types (wood, concrete and steel)</w:t>
            </w:r>
          </w:p>
          <w:p w:rsidR="00000000" w:rsidRPr="004033C1" w:rsidP="004033C1">
            <w:pPr>
              <w:pStyle w:val="ListBullet2"/>
            </w:pPr>
            <w:r w:rsidRPr="004033C1">
              <w:t>installation of poles (tooling, rake, life, labelling and sinking)</w:t>
            </w:r>
          </w:p>
          <w:p w:rsidR="00000000" w:rsidRPr="004033C1" w:rsidP="004033C1">
            <w:pPr>
              <w:pStyle w:val="ListBullet2"/>
            </w:pPr>
            <w:r w:rsidRPr="004033C1">
              <w:t>maintenance of poles (above and below ground)</w:t>
            </w:r>
          </w:p>
          <w:p w:rsidR="00000000" w:rsidRPr="004033C1" w:rsidP="004033C1">
            <w:pPr>
              <w:pStyle w:val="ListBullet2"/>
            </w:pPr>
            <w:r w:rsidRPr="004033C1">
              <w:t>pole strength and loads</w:t>
            </w:r>
          </w:p>
          <w:p w:rsidR="00000000" w:rsidRPr="004033C1" w:rsidP="004033C1">
            <w:pPr>
              <w:pStyle w:val="ListBullet2"/>
            </w:pPr>
            <w:r w:rsidRPr="004033C1">
              <w:t>crossarms</w:t>
            </w:r>
          </w:p>
          <w:p w:rsidR="00000000" w:rsidRPr="004033C1" w:rsidP="004033C1">
            <w:pPr>
              <w:pStyle w:val="ListBullet2"/>
            </w:pPr>
            <w:r w:rsidRPr="004033C1">
              <w:t>types and standard sizes</w:t>
            </w:r>
          </w:p>
          <w:p w:rsidR="00000000" w:rsidRPr="004033C1" w:rsidP="004033C1">
            <w:pPr>
              <w:pStyle w:val="ListBullet2"/>
            </w:pPr>
            <w:r w:rsidRPr="004033C1">
              <w:t>insulators</w:t>
            </w:r>
          </w:p>
          <w:p w:rsidR="00000000" w:rsidRPr="004033C1" w:rsidP="004033C1">
            <w:pPr>
              <w:pStyle w:val="ListBullet2"/>
            </w:pPr>
            <w:r w:rsidRPr="004033C1">
              <w:t>insulation types</w:t>
            </w:r>
          </w:p>
          <w:p w:rsidR="00000000" w:rsidRPr="004033C1" w:rsidP="004033C1">
            <w:pPr>
              <w:pStyle w:val="ListBullet2"/>
            </w:pPr>
            <w:r w:rsidRPr="004033C1">
              <w:t>types (pin, suspension or disc and shackle)</w:t>
            </w:r>
          </w:p>
          <w:p w:rsidR="00000000" w:rsidRPr="004033C1" w:rsidP="004033C1">
            <w:pPr>
              <w:pStyle w:val="ListBullet2"/>
            </w:pPr>
            <w:r w:rsidRPr="004033C1">
              <w:t>creepage and necessary clearances</w:t>
            </w:r>
          </w:p>
          <w:p w:rsidR="00000000" w:rsidRPr="004033C1" w:rsidP="004033C1">
            <w:pPr>
              <w:pStyle w:val="ListBullet2"/>
            </w:pPr>
            <w:r w:rsidRPr="004033C1">
              <w:t>arcing horns and insulator mounting</w:t>
            </w:r>
          </w:p>
          <w:p w:rsidR="00000000" w:rsidRPr="004033C1" w:rsidP="004033C1">
            <w:pPr>
              <w:pStyle w:val="ListBullet2"/>
            </w:pPr>
            <w:r w:rsidRPr="004033C1">
              <w:t>structure types</w:t>
            </w:r>
          </w:p>
          <w:p w:rsidR="00000000" w:rsidRPr="004033C1" w:rsidP="004033C1">
            <w:pPr>
              <w:pStyle w:val="ListBullet2"/>
            </w:pPr>
            <w:r w:rsidRPr="004033C1">
              <w:t>mechanical properties (working strength</w:t>
            </w:r>
            <w:r w:rsidRPr="004033C1">
              <w:t>, maximum tension and limiting size)</w:t>
            </w:r>
          </w:p>
          <w:p w:rsidR="00000000" w:rsidRPr="004033C1" w:rsidP="004033C1">
            <w:pPr>
              <w:pStyle w:val="ListBullet2"/>
            </w:pPr>
            <w:r w:rsidRPr="004033C1">
              <w:t>interpretation of stringing charts</w:t>
            </w:r>
          </w:p>
          <w:p w:rsidR="00000000" w:rsidRPr="004033C1" w:rsidP="004033C1">
            <w:pPr>
              <w:pStyle w:val="ListBullet2"/>
            </w:pPr>
            <w:r w:rsidRPr="004033C1">
              <w:t>determination of sag (by calculations or measurement and/or tension measurement)</w:t>
            </w:r>
          </w:p>
          <w:p w:rsidR="00000000" w:rsidRPr="004033C1" w:rsidP="004033C1">
            <w:pPr>
              <w:pStyle w:val="ListBullet2"/>
            </w:pPr>
            <w:r w:rsidRPr="004033C1">
              <w:t>sight and wave sagging, and sag correction</w:t>
            </w:r>
          </w:p>
          <w:p w:rsidR="00000000" w:rsidRPr="004033C1" w:rsidP="004033C1">
            <w:pPr>
              <w:pStyle w:val="ListBullet2"/>
            </w:pPr>
            <w:r w:rsidRPr="004033C1">
              <w:t>stays</w:t>
            </w:r>
          </w:p>
          <w:p w:rsidR="00000000" w:rsidRPr="004033C1" w:rsidP="004033C1">
            <w:pPr>
              <w:pStyle w:val="ListBullet2"/>
            </w:pPr>
            <w:r w:rsidRPr="004033C1">
              <w:t>components and anchorage</w:t>
            </w:r>
          </w:p>
          <w:p w:rsidR="00000000" w:rsidRPr="004033C1" w:rsidP="004033C1">
            <w:pPr>
              <w:pStyle w:val="ListBullet"/>
            </w:pPr>
            <w:r w:rsidRPr="004033C1">
              <w:t>use of design schedules enco</w:t>
            </w:r>
            <w:r w:rsidRPr="004033C1">
              <w:t>mpassing:</w:t>
            </w:r>
          </w:p>
          <w:p w:rsidR="00000000" w:rsidRPr="004033C1" w:rsidP="004033C1">
            <w:pPr>
              <w:pStyle w:val="ListBullet2"/>
            </w:pPr>
            <w:r w:rsidRPr="004033C1">
              <w:t>sample design problems - common design practice line, voltage, structure types used, line deviation, span sag, cross-arms, insulators and stays, wind loading and line deviation loading basic surveying</w:t>
            </w:r>
          </w:p>
          <w:p w:rsidR="00000000" w:rsidRPr="004033C1" w:rsidP="004033C1">
            <w:pPr>
              <w:pStyle w:val="ListBullet2"/>
            </w:pPr>
            <w:r w:rsidRPr="004033C1">
              <w:t>measurement of levels, deviation angle and compass bearings</w:t>
            </w:r>
          </w:p>
          <w:p w:rsidR="00000000" w:rsidRPr="004033C1" w:rsidP="004033C1">
            <w:pPr>
              <w:pStyle w:val="ListBullet2"/>
            </w:pPr>
            <w:r w:rsidRPr="004033C1">
              <w:t>perform survey of short distribution line extension of produce field notes</w:t>
            </w:r>
          </w:p>
          <w:p w:rsidR="00000000" w:rsidRPr="004033C1" w:rsidP="004033C1">
            <w:pPr>
              <w:pStyle w:val="ListBullet"/>
            </w:pPr>
            <w:r w:rsidRPr="004033C1">
              <w:t>underground cables encompassing:</w:t>
            </w:r>
          </w:p>
          <w:p w:rsidR="00000000" w:rsidRPr="004033C1" w:rsidP="004033C1">
            <w:pPr>
              <w:pStyle w:val="ListBullet2"/>
            </w:pPr>
            <w:r w:rsidRPr="004033C1">
              <w:t>cable types, ratings, core material, design considerations, cable dielectrics, insulat</w:t>
            </w:r>
            <w:r w:rsidRPr="004033C1">
              <w:t>ing materials and abbreviations, electric stress, cable voltage drop and voltage drop calculations, cable termination, joints and installation</w:t>
            </w:r>
          </w:p>
          <w:p w:rsidR="00000000" w:rsidRPr="004033C1" w:rsidP="004033C1">
            <w:pPr>
              <w:pStyle w:val="ListBullet2"/>
            </w:pPr>
            <w:r w:rsidRPr="004033C1">
              <w:t>induction and eddy currents</w:t>
            </w:r>
          </w:p>
          <w:p w:rsidR="00000000" w:rsidRPr="004033C1" w:rsidP="004033C1">
            <w:pPr>
              <w:pStyle w:val="ListBullet2"/>
            </w:pPr>
            <w:r w:rsidRPr="004033C1">
              <w:t>cable testing and cable fault location</w:t>
            </w:r>
          </w:p>
          <w:p w:rsidR="00000000" w:rsidRPr="004033C1" w:rsidP="004033C1">
            <w:pPr>
              <w:pStyle w:val="ListBullet2"/>
            </w:pPr>
            <w:r w:rsidRPr="004033C1">
              <w:t>cable drawing</w:t>
            </w:r>
          </w:p>
          <w:p w:rsidR="00000000" w:rsidRPr="004033C1" w:rsidP="004033C1">
            <w:pPr>
              <w:pStyle w:val="ListBullet"/>
            </w:pPr>
            <w:r w:rsidRPr="004033C1">
              <w:t xml:space="preserve">voltage regulations of feeders </w:t>
            </w:r>
            <w:r w:rsidRPr="004033C1">
              <w:t>and associated equipment encompassing:</w:t>
            </w:r>
          </w:p>
          <w:p w:rsidR="00000000" w:rsidRPr="004033C1" w:rsidP="004033C1">
            <w:pPr>
              <w:pStyle w:val="ListBullet2"/>
            </w:pPr>
            <w:r w:rsidRPr="004033C1">
              <w:t>terminology used - distribution system, service line, customer’s terminals, customer voltage, utilisation voltage, base voltage, voltage variation and bandwidth</w:t>
            </w:r>
          </w:p>
          <w:p w:rsidR="00000000" w:rsidRPr="004033C1" w:rsidP="004033C1">
            <w:pPr>
              <w:pStyle w:val="ListBullet2"/>
            </w:pPr>
            <w:r w:rsidRPr="004033C1">
              <w:t>voltage limits and effects of voltage variation</w:t>
            </w:r>
          </w:p>
          <w:p w:rsidR="00000000" w:rsidRPr="004033C1" w:rsidP="004033C1">
            <w:pPr>
              <w:pStyle w:val="ListBullet2"/>
            </w:pPr>
            <w:r w:rsidRPr="004033C1">
              <w:t xml:space="preserve">causes </w:t>
            </w:r>
            <w:r w:rsidRPr="004033C1">
              <w:t>of variation - inductance, capacitance and reactance of distribution lines, and transformers</w:t>
            </w:r>
          </w:p>
          <w:p w:rsidR="00000000" w:rsidRPr="004033C1" w:rsidP="004033C1">
            <w:pPr>
              <w:pStyle w:val="ListBullet2"/>
            </w:pPr>
            <w:r w:rsidRPr="004033C1">
              <w:t>methods of voltage control - off-load, on-load tap changers, voltage regulating relays, line drop compensation and different types of voltage regulators</w:t>
            </w:r>
          </w:p>
          <w:p w:rsidR="00000000" w:rsidRPr="004033C1" w:rsidP="004033C1">
            <w:pPr>
              <w:pStyle w:val="ListBullet2"/>
            </w:pPr>
            <w:r w:rsidRPr="004033C1">
              <w:t>voltage pr</w:t>
            </w:r>
            <w:r w:rsidRPr="004033C1">
              <w:t>ofiles - principles, effect on voltage profiles, limits of voltage, voltage drops due to LV mains transformers, tap-settings feeder and service lines</w:t>
            </w:r>
          </w:p>
          <w:p w:rsidR="00000000" w:rsidRPr="004033C1" w:rsidP="004033C1">
            <w:pPr>
              <w:pStyle w:val="ListBullet2"/>
            </w:pPr>
            <w:r w:rsidRPr="004033C1">
              <w:t>determining voltage drops for components within the profile</w:t>
            </w:r>
          </w:p>
          <w:p w:rsidR="00000000" w:rsidRPr="004033C1" w:rsidP="004033C1">
            <w:pPr>
              <w:pStyle w:val="ListBullet"/>
            </w:pPr>
            <w:r w:rsidRPr="004033C1">
              <w:t>control of voltage - conditions leading to voltage collapse and system disintegration; effects on the system of HV/LV; and voltage control devices encompassing:</w:t>
            </w:r>
          </w:p>
          <w:p w:rsidR="00000000" w:rsidRPr="004033C1" w:rsidP="004033C1">
            <w:pPr>
              <w:pStyle w:val="ListBullet2"/>
            </w:pPr>
            <w:r w:rsidRPr="004033C1">
              <w:t>voltage regulators applied to generators and synchronous phase modifiers</w:t>
            </w:r>
          </w:p>
          <w:p w:rsidR="00000000" w:rsidRPr="004033C1" w:rsidP="004033C1">
            <w:pPr>
              <w:pStyle w:val="ListBullet2"/>
            </w:pPr>
            <w:r w:rsidRPr="004033C1">
              <w:t>electromagnetic volta</w:t>
            </w:r>
            <w:r w:rsidRPr="004033C1">
              <w:t>ge regulators</w:t>
            </w:r>
          </w:p>
          <w:p w:rsidR="00000000" w:rsidRPr="004033C1" w:rsidP="004033C1">
            <w:pPr>
              <w:pStyle w:val="ListBullet2"/>
            </w:pPr>
            <w:r w:rsidRPr="004033C1">
              <w:t>series and parallel capacitors</w:t>
            </w:r>
          </w:p>
          <w:p w:rsidR="00000000" w:rsidRPr="004033C1" w:rsidP="004033C1">
            <w:pPr>
              <w:pStyle w:val="ListBullet2"/>
            </w:pPr>
            <w:r w:rsidRPr="004033C1">
              <w:t>on-load tap changer (OLTC) transformers and static VAR compensations (SVCs)</w:t>
            </w:r>
          </w:p>
          <w:p w:rsidR="00000000" w:rsidRPr="004033C1" w:rsidP="004033C1">
            <w:pPr>
              <w:pStyle w:val="ListBullet"/>
            </w:pPr>
            <w:r w:rsidRPr="004033C1">
              <w:t>range of devices covered by SVCs encompassing:</w:t>
            </w:r>
          </w:p>
          <w:p w:rsidR="00000000" w:rsidRPr="004033C1" w:rsidP="004033C1">
            <w:pPr>
              <w:pStyle w:val="ListBullet2"/>
            </w:pPr>
            <w:r w:rsidRPr="004033C1">
              <w:t xml:space="preserve">saturated reactor (SR) compensations </w:t>
            </w:r>
          </w:p>
          <w:p w:rsidR="00000000" w:rsidRPr="004033C1" w:rsidP="004033C1">
            <w:pPr>
              <w:pStyle w:val="ListBullet2"/>
            </w:pPr>
            <w:r w:rsidRPr="004033C1">
              <w:t xml:space="preserve">thyristor controlled reactor (TCR) compensators </w:t>
            </w:r>
          </w:p>
          <w:p w:rsidR="00000000" w:rsidRPr="004033C1" w:rsidP="004033C1">
            <w:pPr>
              <w:pStyle w:val="ListBullet2"/>
            </w:pPr>
            <w:r w:rsidRPr="004033C1">
              <w:t xml:space="preserve">combined TCR/TSCs </w:t>
            </w:r>
          </w:p>
          <w:p w:rsidR="00000000" w:rsidRPr="004033C1" w:rsidP="004033C1">
            <w:pPr>
              <w:pStyle w:val="ListBullet2"/>
            </w:pPr>
            <w:r w:rsidRPr="004033C1">
              <w:t>production of wave-form distorting harmonics and control devices</w:t>
            </w:r>
          </w:p>
          <w:p w:rsidR="00000000" w:rsidRPr="004033C1" w:rsidP="004033C1">
            <w:pPr>
              <w:pStyle w:val="ListBullet"/>
            </w:pPr>
            <w:r w:rsidRPr="004033C1">
              <w:t>importance of the location in the system of voltage control devices</w:t>
            </w:r>
          </w:p>
          <w:p w:rsidR="00000000" w:rsidRPr="004033C1" w:rsidP="004033C1">
            <w:pPr>
              <w:pStyle w:val="ListBullet"/>
            </w:pPr>
            <w:r w:rsidRPr="004033C1">
              <w:t>types of communication systems encompassing:</w:t>
            </w:r>
          </w:p>
          <w:p w:rsidR="00000000" w:rsidRPr="004033C1" w:rsidP="004033C1">
            <w:pPr>
              <w:pStyle w:val="ListBullet2"/>
            </w:pPr>
            <w:r w:rsidRPr="004033C1">
              <w:t>telephone, power line carrier, dedicated cable, micro-wa</w:t>
            </w:r>
            <w:r w:rsidRPr="004033C1">
              <w:t>ve links and fibre optics</w:t>
            </w:r>
          </w:p>
          <w:p w:rsidR="00000000" w:rsidRPr="004033C1" w:rsidP="004033C1">
            <w:pPr>
              <w:pStyle w:val="ListBullet2"/>
            </w:pPr>
            <w:r w:rsidRPr="004033C1">
              <w:t xml:space="preserve"> quantities and signals to be communicated </w:t>
            </w:r>
          </w:p>
          <w:p w:rsidR="00000000" w:rsidRPr="004033C1" w:rsidP="004033C1">
            <w:pPr>
              <w:pStyle w:val="ListBullet2"/>
            </w:pPr>
            <w:r w:rsidRPr="004033C1">
              <w:t>advantages and disadvantages of the various systems</w:t>
            </w:r>
          </w:p>
          <w:p w:rsidR="00000000" w:rsidRPr="004033C1" w:rsidP="004033C1">
            <w:pPr>
              <w:pStyle w:val="ListBullet2"/>
            </w:pPr>
            <w:r w:rsidRPr="004033C1">
              <w:t>equipment requirements</w:t>
            </w:r>
          </w:p>
          <w:p w:rsidR="00000000" w:rsidRPr="004033C1" w:rsidP="004033C1">
            <w:pPr>
              <w:pStyle w:val="ListBullet"/>
            </w:pPr>
            <w:r w:rsidRPr="004033C1">
              <w:t xml:space="preserve">transient over-voltages in power systems encompassing: </w:t>
            </w:r>
          </w:p>
          <w:p w:rsidR="00000000" w:rsidRPr="004033C1" w:rsidP="004033C1">
            <w:pPr>
              <w:pStyle w:val="ListBullet2"/>
            </w:pPr>
            <w:r w:rsidRPr="004033C1">
              <w:t>switching and lightning over-voltages and their effect on different plant items</w:t>
            </w:r>
          </w:p>
          <w:p w:rsidR="00000000" w:rsidRPr="004033C1" w:rsidP="004033C1">
            <w:pPr>
              <w:pStyle w:val="ListBullet2"/>
            </w:pPr>
            <w:r w:rsidRPr="004033C1">
              <w:t xml:space="preserve">transient over-voltage control and reduction using surge diverters, shield wires and CB control </w:t>
            </w:r>
          </w:p>
          <w:p w:rsidR="00000000" w:rsidRPr="004033C1" w:rsidP="004033C1">
            <w:pPr>
              <w:pStyle w:val="ListBullet2"/>
            </w:pPr>
            <w:r w:rsidRPr="004033C1">
              <w:t>insulation systems, insulation coordination, insulation grading in plant items,</w:t>
            </w:r>
            <w:r w:rsidRPr="004033C1">
              <w:t xml:space="preserve"> bushings and capacitor bushings</w:t>
            </w:r>
          </w:p>
          <w:p w:rsidR="00000000" w:rsidRPr="004033C1" w:rsidP="004033C1">
            <w:pPr>
              <w:pStyle w:val="ListBullet"/>
            </w:pPr>
            <w:r w:rsidRPr="004033C1">
              <w:t>the principles of operation, voltage and current range, breaking capacity and field of use of circuit breakers - bulk oil, small oil volume, air break, vacuum and SF6 (double pressure and puffer types)</w:t>
            </w:r>
          </w:p>
          <w:p w:rsidR="00000000" w:rsidRPr="004033C1" w:rsidP="004033C1">
            <w:pPr>
              <w:pStyle w:val="ListBullet"/>
            </w:pPr>
            <w:r w:rsidRPr="004033C1">
              <w:t>the types of isolato</w:t>
            </w:r>
            <w:r w:rsidRPr="004033C1">
              <w:t>rs in use, such as duo-roll, blade and scissor type</w:t>
            </w:r>
          </w:p>
          <w:p w:rsidR="00000000" w:rsidRPr="004033C1" w:rsidP="004033C1">
            <w:pPr>
              <w:pStyle w:val="ListBullet"/>
            </w:pPr>
            <w:r w:rsidRPr="004033C1">
              <w:t>circuit breaker auxiliary systems encompassing:</w:t>
            </w:r>
          </w:p>
          <w:p w:rsidR="00000000" w:rsidRPr="004033C1" w:rsidP="004033C1">
            <w:pPr>
              <w:pStyle w:val="ListBullet2"/>
            </w:pPr>
            <w:r w:rsidRPr="004033C1">
              <w:t>direct current (d.c.) systems, including battery types, charging and protection systems and earth fault detection systems</w:t>
            </w:r>
          </w:p>
          <w:p w:rsidR="00000000" w:rsidRPr="004033C1" w:rsidP="004033C1">
            <w:pPr>
              <w:pStyle w:val="ListBullet2"/>
            </w:pPr>
            <w:r w:rsidRPr="004033C1">
              <w:t>SF6 conditioning, storage and han</w:t>
            </w:r>
            <w:r w:rsidRPr="004033C1">
              <w:t>dling systems.</w:t>
            </w:r>
          </w:p>
        </w:tc>
      </w:tr>
    </w:tbl>
    <w:p w:rsidR="00000000" w:rsidRPr="004033C1" w:rsidP="004033C1">
      <w:pPr>
        <w:pStyle w:val="NoPaddingFontSize1"/>
      </w:pPr>
    </w:p>
    <w:p w:rsidR="00000000" w:rsidRPr="004033C1" w:rsidP="004033C1">
      <w:pPr>
        <w:pStyle w:val="AllowPageBreak"/>
      </w:pPr>
    </w:p>
    <w:p w:rsidR="00000000" w:rsidRPr="004033C1" w:rsidP="004033C1">
      <w:pPr>
        <w:pStyle w:val="Heading1"/>
      </w:pPr>
      <w:bookmarkStart w:id="4" w:name="O_1003738"/>
      <w:bookmarkEnd w:id="4"/>
      <w:r w:rsidRPr="004033C1">
        <w:t>Assessment Conditions</w:t>
      </w:r>
    </w:p>
    <w:p w:rsidR="00000000" w:rsidRPr="004033C1" w:rsidP="004033C1">
      <w:pPr>
        <w:pStyle w:val="Heading1"/>
      </w:pPr>
      <w:bookmarkStart w:id="5" w:name="O_1003741"/>
      <w:bookmarkEnd w:id="5"/>
      <w:r w:rsidRPr="004033C1">
        <w:t>Links</w:t>
      </w:r>
    </w:p>
    <w:p w:rsidR="00000000" w:rsidRPr="004033C1" w:rsidP="00EE22F9">
      <w:pPr>
        <w:pStyle w:val="BodyText"/>
      </w:pPr>
      <w:r w:rsidRPr="004033C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83C7E">
        <w:rPr>
          <w:rStyle w:val="Hyperlink"/>
        </w:rPr>
        <w:t>https://vetnet.gov.au/Pages/TrainingDocs.aspx?q=229bace1-b7bc-4653-9300-dffb13ecfad7</w:t>
      </w:r>
      <w:r>
        <w:fldChar w:fldCharType="end"/>
      </w:r>
    </w:p>
    <w:p w:rsidR="00000000" w:rsidRPr="004033C1" w:rsidP="004033C1"/>
    <w:sectPr w:rsidSect="004033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C1" w:rsidRPr="00EE22F9" w:rsidP="00EE22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2F9" w:rsidP="00403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2F9" w:rsidP="004033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22F9" w:rsidP="004033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2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3C1" w:rsidRPr="00EE22F9" w:rsidP="00EE22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2F9" w:rsidRPr="002D2AF8" w:rsidP="004033C1">
    <w:pPr>
      <w:pStyle w:val="Header"/>
      <w:framePr w:wrap="around"/>
    </w:pPr>
    <w:r>
      <w:fldChar w:fldCharType="begin"/>
    </w:r>
    <w:r>
      <w:instrText xml:space="preserve"> TITLE   \* MERGEFORMAT </w:instrText>
    </w:r>
    <w:r>
      <w:fldChar w:fldCharType="separate"/>
    </w:r>
    <w:r>
      <w:t>Assessment Requirements for UETTDRIS70 Diagnose and rectify faults in electrical energy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EE22F9" w:rsidP="00403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FE0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061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2A0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3C1"/>
    <w:pPr>
      <w:spacing w:before="360" w:after="60"/>
      <w:outlineLvl w:val="0"/>
    </w:pPr>
    <w:rPr>
      <w:sz w:val="32"/>
    </w:rPr>
  </w:style>
  <w:style w:type="paragraph" w:styleId="Heading2">
    <w:name w:val="heading 2"/>
    <w:basedOn w:val="HeadingBase"/>
    <w:next w:val="BodyText"/>
    <w:link w:val="Heading2Char"/>
    <w:qFormat/>
    <w:rsid w:val="004033C1"/>
    <w:pPr>
      <w:keepLines/>
      <w:spacing w:before="240" w:after="120"/>
      <w:outlineLvl w:val="1"/>
    </w:pPr>
    <w:rPr>
      <w:sz w:val="28"/>
      <w:szCs w:val="40"/>
    </w:rPr>
  </w:style>
  <w:style w:type="paragraph" w:styleId="Heading3">
    <w:name w:val="heading 3"/>
    <w:basedOn w:val="HeadingBase"/>
    <w:next w:val="BodyText"/>
    <w:link w:val="Heading3Char"/>
    <w:qFormat/>
    <w:rsid w:val="004033C1"/>
    <w:pPr>
      <w:spacing w:before="180" w:after="120"/>
      <w:outlineLvl w:val="2"/>
    </w:pPr>
    <w:rPr>
      <w:spacing w:val="-10"/>
      <w:kern w:val="32"/>
    </w:rPr>
  </w:style>
  <w:style w:type="paragraph" w:styleId="Heading4">
    <w:name w:val="heading 4"/>
    <w:basedOn w:val="HeadingBase"/>
    <w:next w:val="BodyText"/>
    <w:link w:val="Heading4Char"/>
    <w:qFormat/>
    <w:rsid w:val="004033C1"/>
    <w:pPr>
      <w:spacing w:before="160" w:after="120"/>
      <w:outlineLvl w:val="3"/>
    </w:pPr>
    <w:rPr>
      <w:sz w:val="22"/>
    </w:rPr>
  </w:style>
  <w:style w:type="paragraph" w:styleId="Heading5">
    <w:name w:val="heading 5"/>
    <w:basedOn w:val="HeadingBase"/>
    <w:next w:val="Normal"/>
    <w:link w:val="Heading5Char"/>
    <w:qFormat/>
    <w:rsid w:val="004033C1"/>
    <w:pPr>
      <w:spacing w:before="80"/>
      <w:outlineLvl w:val="4"/>
    </w:pPr>
    <w:rPr>
      <w:color w:val="918585"/>
      <w:sz w:val="20"/>
    </w:rPr>
  </w:style>
  <w:style w:type="paragraph" w:styleId="Heading6">
    <w:name w:val="heading 6"/>
    <w:basedOn w:val="HeadingBase"/>
    <w:next w:val="Normal"/>
    <w:link w:val="Heading6Char"/>
    <w:qFormat/>
    <w:rsid w:val="004033C1"/>
    <w:pPr>
      <w:spacing w:before="60"/>
      <w:outlineLvl w:val="5"/>
    </w:pPr>
    <w:rPr>
      <w:color w:val="918585"/>
      <w:sz w:val="20"/>
    </w:rPr>
  </w:style>
  <w:style w:type="paragraph" w:styleId="Heading7">
    <w:name w:val="heading 7"/>
    <w:basedOn w:val="Normal"/>
    <w:next w:val="Normal"/>
    <w:link w:val="Heading7Char"/>
    <w:qFormat/>
    <w:rsid w:val="004033C1"/>
    <w:pPr>
      <w:ind w:left="720"/>
      <w:outlineLvl w:val="6"/>
    </w:pPr>
    <w:rPr>
      <w:i/>
    </w:rPr>
  </w:style>
  <w:style w:type="paragraph" w:styleId="Heading8">
    <w:name w:val="heading 8"/>
    <w:basedOn w:val="Normal"/>
    <w:next w:val="Normal"/>
    <w:link w:val="Heading8Char"/>
    <w:qFormat/>
    <w:rsid w:val="004033C1"/>
    <w:pPr>
      <w:ind w:left="720"/>
      <w:outlineLvl w:val="7"/>
    </w:pPr>
    <w:rPr>
      <w:i/>
    </w:rPr>
  </w:style>
  <w:style w:type="paragraph" w:styleId="Heading9">
    <w:name w:val="heading 9"/>
    <w:basedOn w:val="Normal"/>
    <w:next w:val="Normal"/>
    <w:link w:val="Heading9Char"/>
    <w:qFormat/>
    <w:rsid w:val="004033C1"/>
    <w:pPr>
      <w:ind w:left="720"/>
      <w:outlineLvl w:val="8"/>
    </w:pPr>
    <w:rPr>
      <w:i/>
    </w:rPr>
  </w:style>
  <w:style w:type="character" w:default="1" w:styleId="DefaultParagraphFont">
    <w:name w:val="Default Paragraph Font"/>
    <w:uiPriority w:val="1"/>
    <w:unhideWhenUsed/>
    <w:rsid w:val="00403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3C1"/>
  </w:style>
  <w:style w:type="character" w:customStyle="1" w:styleId="Heading1Char">
    <w:name w:val="Heading 1 Char"/>
    <w:basedOn w:val="DefaultParagraphFont"/>
    <w:link w:val="Heading1"/>
    <w:rsid w:val="004033C1"/>
    <w:rPr>
      <w:rFonts w:ascii="Times New Roman" w:eastAsia="Times New Roman" w:hAnsi="Times New Roman" w:cs="Times New Roman"/>
      <w:b/>
      <w:sz w:val="32"/>
      <w:szCs w:val="20"/>
      <w:lang w:eastAsia="en-US"/>
    </w:rPr>
  </w:style>
  <w:style w:type="paragraph" w:styleId="BodyText">
    <w:name w:val="Body Text"/>
    <w:basedOn w:val="Normal"/>
    <w:link w:val="BodyTextChar"/>
    <w:rsid w:val="004033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3C1"/>
    <w:rPr>
      <w:rFonts w:ascii="Times New Roman" w:eastAsia="Times New Roman" w:hAnsi="Times New Roman" w:cs="Times New Roman"/>
      <w:sz w:val="24"/>
      <w:lang w:eastAsia="en-US"/>
    </w:rPr>
  </w:style>
  <w:style w:type="paragraph" w:styleId="ListBullet">
    <w:name w:val="List Bullet"/>
    <w:basedOn w:val="List"/>
    <w:rsid w:val="004033C1"/>
    <w:pPr>
      <w:numPr>
        <w:numId w:val="12"/>
      </w:numPr>
      <w:tabs>
        <w:tab w:val="clear" w:pos="340"/>
      </w:tabs>
      <w:spacing w:before="40" w:after="40"/>
    </w:pPr>
  </w:style>
  <w:style w:type="paragraph" w:styleId="ListBullet2">
    <w:name w:val="List Bullet 2"/>
    <w:basedOn w:val="List2"/>
    <w:rsid w:val="004033C1"/>
    <w:pPr>
      <w:numPr>
        <w:numId w:val="13"/>
      </w:numPr>
      <w:tabs>
        <w:tab w:val="clear" w:pos="680"/>
      </w:tabs>
    </w:pPr>
  </w:style>
  <w:style w:type="paragraph" w:customStyle="1" w:styleId="SuperHeading">
    <w:name w:val="SuperHeading"/>
    <w:basedOn w:val="Normal"/>
    <w:rsid w:val="004033C1"/>
    <w:pPr>
      <w:spacing w:before="240" w:after="120"/>
      <w:outlineLvl w:val="0"/>
    </w:pPr>
    <w:rPr>
      <w:rFonts w:ascii="Times New Roman" w:hAnsi="Times New Roman"/>
      <w:b/>
      <w:sz w:val="32"/>
    </w:rPr>
  </w:style>
  <w:style w:type="paragraph" w:customStyle="1" w:styleId="AllowPageBreak">
    <w:name w:val="AllowPageBreak"/>
    <w:rsid w:val="004033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3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3C1"/>
    <w:rPr>
      <w:rFonts w:ascii="Courier New" w:eastAsia="Times New Roman" w:hAnsi="Courier New" w:cs="Times New Roman"/>
      <w:i/>
      <w:szCs w:val="20"/>
      <w:lang w:eastAsia="en-US"/>
    </w:rPr>
  </w:style>
  <w:style w:type="paragraph" w:customStyle="1" w:styleId="HeadingBase">
    <w:name w:val="Heading Base"/>
    <w:rsid w:val="00403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3C1"/>
    <w:pPr>
      <w:tabs>
        <w:tab w:val="right" w:leader="dot" w:pos="9072"/>
      </w:tabs>
      <w:ind w:left="567"/>
    </w:pPr>
    <w:rPr>
      <w:szCs w:val="22"/>
    </w:rPr>
  </w:style>
  <w:style w:type="paragraph" w:customStyle="1" w:styleId="TOCBase">
    <w:name w:val="TOC Base"/>
    <w:rsid w:val="00403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3C1"/>
    <w:pPr>
      <w:tabs>
        <w:tab w:val="right" w:leader="dot" w:pos="9072"/>
      </w:tabs>
      <w:spacing w:before="40" w:after="40"/>
      <w:ind w:left="284"/>
    </w:pPr>
    <w:rPr>
      <w:rFonts w:ascii="Times New Roman" w:hAnsi="Times New Roman"/>
    </w:rPr>
  </w:style>
  <w:style w:type="paragraph" w:styleId="TOC1">
    <w:name w:val="toc 1"/>
    <w:basedOn w:val="TOCBase"/>
    <w:next w:val="Normal"/>
    <w:rsid w:val="004033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3C1"/>
    <w:rPr>
      <w:rFonts w:ascii="Times New Roman" w:eastAsia="Times New Roman" w:hAnsi="Times New Roman" w:cs="Times New Roman"/>
      <w:sz w:val="16"/>
      <w:lang w:eastAsia="en-US"/>
    </w:rPr>
  </w:style>
  <w:style w:type="paragraph" w:styleId="Title">
    <w:name w:val="Title"/>
    <w:basedOn w:val="HeadingBase"/>
    <w:link w:val="TitleChar"/>
    <w:qFormat/>
    <w:rsid w:val="004033C1"/>
    <w:pPr>
      <w:spacing w:before="5040"/>
      <w:jc w:val="center"/>
    </w:pPr>
    <w:rPr>
      <w:sz w:val="48"/>
      <w:szCs w:val="72"/>
      <w:lang w:val="en-US"/>
    </w:rPr>
  </w:style>
  <w:style w:type="character" w:customStyle="1" w:styleId="TitleChar">
    <w:name w:val="Title Char"/>
    <w:basedOn w:val="DefaultParagraphFont"/>
    <w:link w:val="Title"/>
    <w:rsid w:val="00403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3C1"/>
    <w:pPr>
      <w:tabs>
        <w:tab w:val="left" w:pos="3600"/>
        <w:tab w:val="left" w:pos="3958"/>
      </w:tabs>
    </w:pPr>
  </w:style>
  <w:style w:type="paragraph" w:styleId="List">
    <w:name w:val="List"/>
    <w:basedOn w:val="BodyText"/>
    <w:next w:val="BodyText"/>
    <w:rsid w:val="004033C1"/>
    <w:pPr>
      <w:tabs>
        <w:tab w:val="left" w:pos="340"/>
      </w:tabs>
      <w:spacing w:before="60" w:after="60"/>
      <w:ind w:left="340" w:hanging="340"/>
    </w:pPr>
  </w:style>
  <w:style w:type="paragraph" w:customStyle="1" w:styleId="Note">
    <w:name w:val="Note"/>
    <w:basedOn w:val="BodyText"/>
    <w:rsid w:val="004033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33C1"/>
    <w:rPr>
      <w:b/>
      <w:spacing w:val="0"/>
    </w:rPr>
  </w:style>
  <w:style w:type="paragraph" w:customStyle="1" w:styleId="SuperTitle">
    <w:name w:val="SuperTitle"/>
    <w:basedOn w:val="Title"/>
    <w:rsid w:val="004033C1"/>
    <w:pPr>
      <w:framePr w:wrap="auto" w:hAnchor="text" w:y="6049"/>
    </w:pPr>
    <w:rPr>
      <w:color w:val="000000"/>
      <w:sz w:val="40"/>
    </w:rPr>
  </w:style>
  <w:style w:type="paragraph" w:customStyle="1" w:styleId="TOCTitle">
    <w:name w:val="TOCTitle"/>
    <w:basedOn w:val="Heading1"/>
    <w:rsid w:val="004033C1"/>
    <w:pPr>
      <w:spacing w:after="240"/>
      <w:jc w:val="center"/>
      <w:outlineLvl w:val="9"/>
    </w:pPr>
    <w:rPr>
      <w:caps/>
    </w:rPr>
  </w:style>
  <w:style w:type="paragraph" w:customStyle="1" w:styleId="Version">
    <w:name w:val="Version"/>
    <w:rsid w:val="00403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3C1"/>
    <w:pPr>
      <w:keepNext w:val="0"/>
      <w:tabs>
        <w:tab w:val="right" w:pos="4176"/>
      </w:tabs>
      <w:ind w:left="198" w:hanging="198"/>
    </w:pPr>
    <w:rPr>
      <w:rFonts w:ascii="Garamond" w:hAnsi="Garamond"/>
    </w:rPr>
  </w:style>
  <w:style w:type="paragraph" w:styleId="IndexHeading">
    <w:name w:val="index heading"/>
    <w:basedOn w:val="Normal"/>
    <w:next w:val="Index1"/>
    <w:semiHidden/>
    <w:rsid w:val="004033C1"/>
    <w:pPr>
      <w:spacing w:before="120" w:after="120"/>
    </w:pPr>
    <w:rPr>
      <w:rFonts w:ascii="Arial" w:hAnsi="Arial"/>
      <w:b/>
      <w:color w:val="918585"/>
      <w:sz w:val="24"/>
    </w:rPr>
  </w:style>
  <w:style w:type="paragraph" w:styleId="Header">
    <w:name w:val="header"/>
    <w:basedOn w:val="Normal"/>
    <w:link w:val="HeaderChar"/>
    <w:rsid w:val="00403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3C1"/>
    <w:rPr>
      <w:rFonts w:ascii="Times New Roman" w:eastAsia="Times New Roman" w:hAnsi="Times New Roman" w:cs="Times New Roman"/>
      <w:sz w:val="16"/>
      <w:szCs w:val="20"/>
      <w:lang w:val="en-GB" w:eastAsia="en-US"/>
    </w:rPr>
  </w:style>
  <w:style w:type="paragraph" w:customStyle="1" w:styleId="Chapter">
    <w:name w:val="Chapter"/>
    <w:basedOn w:val="Normal"/>
    <w:rsid w:val="004033C1"/>
    <w:pPr>
      <w:spacing w:before="240"/>
    </w:pPr>
    <w:rPr>
      <w:rFonts w:ascii="Times New Roman" w:hAnsi="Times New Roman"/>
      <w:smallCaps/>
      <w:spacing w:val="80"/>
      <w:sz w:val="28"/>
    </w:rPr>
  </w:style>
  <w:style w:type="paragraph" w:customStyle="1" w:styleId="InChapter">
    <w:name w:val="InChapter"/>
    <w:basedOn w:val="Heading3"/>
    <w:rsid w:val="004033C1"/>
    <w:pPr>
      <w:spacing w:after="240"/>
      <w:outlineLvl w:val="9"/>
    </w:pPr>
    <w:rPr>
      <w:noProof/>
    </w:rPr>
  </w:style>
  <w:style w:type="paragraph" w:styleId="Index2">
    <w:name w:val="index 2"/>
    <w:basedOn w:val="Normal"/>
    <w:next w:val="Normal"/>
    <w:semiHidden/>
    <w:rsid w:val="004033C1"/>
    <w:pPr>
      <w:tabs>
        <w:tab w:val="right" w:pos="4176"/>
      </w:tabs>
      <w:ind w:left="568" w:hanging="284"/>
    </w:pPr>
    <w:rPr>
      <w:rFonts w:ascii="Garamond" w:hAnsi="Garamond"/>
    </w:rPr>
  </w:style>
  <w:style w:type="paragraph" w:customStyle="1" w:styleId="Byline">
    <w:name w:val="Byline"/>
    <w:rsid w:val="00403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3C1"/>
    <w:pPr>
      <w:tabs>
        <w:tab w:val="clear" w:pos="3600"/>
        <w:tab w:val="clear" w:pos="3958"/>
      </w:tabs>
      <w:jc w:val="right"/>
    </w:pPr>
  </w:style>
  <w:style w:type="character" w:styleId="Emphasis">
    <w:name w:val="Emphasis"/>
    <w:basedOn w:val="DefaultParagraphFont"/>
    <w:qFormat/>
    <w:rsid w:val="004033C1"/>
    <w:rPr>
      <w:i/>
    </w:rPr>
  </w:style>
  <w:style w:type="paragraph" w:styleId="Caption">
    <w:name w:val="caption"/>
    <w:basedOn w:val="BodyText"/>
    <w:next w:val="Normal"/>
    <w:qFormat/>
    <w:rsid w:val="004033C1"/>
    <w:pPr>
      <w:framePr w:w="2268" w:hSpace="181" w:vSpace="181" w:wrap="around" w:vAnchor="text" w:hAnchor="page" w:x="1135" w:y="285" w:anchorLock="1"/>
    </w:pPr>
    <w:rPr>
      <w:i/>
    </w:rPr>
  </w:style>
  <w:style w:type="paragraph" w:customStyle="1" w:styleId="MiniTOCTitle">
    <w:name w:val="MiniTOCTitle"/>
    <w:basedOn w:val="Heading4"/>
    <w:rsid w:val="004033C1"/>
    <w:pPr>
      <w:spacing w:before="240"/>
      <w:outlineLvl w:val="9"/>
    </w:pPr>
    <w:rPr>
      <w:noProof/>
      <w:sz w:val="24"/>
    </w:rPr>
  </w:style>
  <w:style w:type="paragraph" w:customStyle="1" w:styleId="MiniTOCItem">
    <w:name w:val="MiniTOCItem"/>
    <w:basedOn w:val="ListBullet"/>
    <w:rsid w:val="004033C1"/>
    <w:pPr>
      <w:numPr>
        <w:numId w:val="0"/>
      </w:numPr>
      <w:tabs>
        <w:tab w:val="right" w:leader="dot" w:pos="6521"/>
      </w:tabs>
      <w:spacing w:before="0" w:after="0"/>
    </w:pPr>
  </w:style>
  <w:style w:type="paragraph" w:customStyle="1" w:styleId="TOFTitle">
    <w:name w:val="TOFTitle"/>
    <w:basedOn w:val="TOCTitle"/>
    <w:rsid w:val="004033C1"/>
  </w:style>
  <w:style w:type="paragraph" w:styleId="TableofFigures">
    <w:name w:val="table of figures"/>
    <w:basedOn w:val="Normal"/>
    <w:next w:val="Normal"/>
    <w:semiHidden/>
    <w:rsid w:val="004033C1"/>
    <w:pPr>
      <w:tabs>
        <w:tab w:val="right" w:leader="dot" w:pos="9072"/>
      </w:tabs>
      <w:ind w:left="970" w:hanging="403"/>
    </w:pPr>
    <w:rPr>
      <w:rFonts w:ascii="Times New Roman" w:hAnsi="Times New Roman"/>
      <w:b/>
    </w:rPr>
  </w:style>
  <w:style w:type="paragraph" w:styleId="ListNumber">
    <w:name w:val="List Number"/>
    <w:basedOn w:val="List"/>
    <w:rsid w:val="004033C1"/>
    <w:pPr>
      <w:numPr>
        <w:numId w:val="15"/>
      </w:numPr>
      <w:tabs>
        <w:tab w:val="clear" w:pos="340"/>
      </w:tabs>
    </w:pPr>
  </w:style>
  <w:style w:type="character" w:customStyle="1" w:styleId="WingdingSymbols">
    <w:name w:val="Wingding Symbols"/>
    <w:rsid w:val="004033C1"/>
    <w:rPr>
      <w:rFonts w:ascii="Wingdings" w:hAnsi="Wingdings"/>
    </w:rPr>
  </w:style>
  <w:style w:type="paragraph" w:customStyle="1" w:styleId="TableHeading">
    <w:name w:val="Table Heading"/>
    <w:basedOn w:val="HeadingBase"/>
    <w:rsid w:val="004033C1"/>
    <w:pPr>
      <w:keepLines/>
      <w:pBdr>
        <w:bottom w:val="single" w:sz="6" w:space="1" w:color="918585"/>
      </w:pBdr>
      <w:spacing w:before="240"/>
    </w:pPr>
  </w:style>
  <w:style w:type="character" w:customStyle="1" w:styleId="HotSpot">
    <w:name w:val="HotSpot"/>
    <w:rsid w:val="004033C1"/>
    <w:rPr>
      <w:color w:val="0033CC"/>
      <w:u w:val="none"/>
    </w:rPr>
  </w:style>
  <w:style w:type="paragraph" w:customStyle="1" w:styleId="BodyTextRight">
    <w:name w:val="Body Text Right"/>
    <w:basedOn w:val="BodyText"/>
    <w:rsid w:val="004033C1"/>
    <w:pPr>
      <w:spacing w:before="0" w:after="0"/>
      <w:jc w:val="right"/>
    </w:pPr>
  </w:style>
  <w:style w:type="paragraph" w:styleId="Index3">
    <w:name w:val="index 3"/>
    <w:basedOn w:val="ListNumber2"/>
    <w:next w:val="Normal"/>
    <w:semiHidden/>
    <w:rsid w:val="004033C1"/>
    <w:pPr>
      <w:numPr>
        <w:numId w:val="0"/>
      </w:numPr>
      <w:tabs>
        <w:tab w:val="right" w:leader="dot" w:pos="4176"/>
      </w:tabs>
    </w:pPr>
  </w:style>
  <w:style w:type="paragraph" w:styleId="ListNumber2">
    <w:name w:val="List Number 2"/>
    <w:basedOn w:val="List2"/>
    <w:rsid w:val="004033C1"/>
    <w:pPr>
      <w:numPr>
        <w:numId w:val="10"/>
      </w:numPr>
      <w:tabs>
        <w:tab w:val="clear" w:pos="1060"/>
      </w:tabs>
    </w:pPr>
  </w:style>
  <w:style w:type="paragraph" w:customStyle="1" w:styleId="MarginNote">
    <w:name w:val="Margin Note"/>
    <w:basedOn w:val="BodyText"/>
    <w:rsid w:val="00403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3C1"/>
    <w:rPr>
      <w:sz w:val="32"/>
    </w:rPr>
  </w:style>
  <w:style w:type="paragraph" w:customStyle="1" w:styleId="HeadingProcedure">
    <w:name w:val="Heading Procedure"/>
    <w:basedOn w:val="HeadingBase"/>
    <w:next w:val="Normal"/>
    <w:rsid w:val="004033C1"/>
    <w:pPr>
      <w:tabs>
        <w:tab w:val="left" w:pos="0"/>
      </w:tabs>
      <w:spacing w:before="120" w:after="60"/>
    </w:pPr>
    <w:rPr>
      <w:i/>
      <w:color w:val="918585"/>
      <w:sz w:val="22"/>
    </w:rPr>
  </w:style>
  <w:style w:type="paragraph" w:customStyle="1" w:styleId="TableBodyText">
    <w:name w:val="Table Body Text"/>
    <w:basedOn w:val="BodyText"/>
    <w:rsid w:val="004033C1"/>
    <w:pPr>
      <w:spacing w:before="60" w:after="60"/>
    </w:pPr>
  </w:style>
  <w:style w:type="paragraph" w:styleId="ListContinue">
    <w:name w:val="List Continue"/>
    <w:basedOn w:val="List"/>
    <w:rsid w:val="004033C1"/>
    <w:pPr>
      <w:ind w:firstLine="0"/>
    </w:pPr>
  </w:style>
  <w:style w:type="paragraph" w:customStyle="1" w:styleId="ListNote">
    <w:name w:val="List Note"/>
    <w:basedOn w:val="List"/>
    <w:rsid w:val="004033C1"/>
    <w:pPr>
      <w:pBdr>
        <w:top w:val="single" w:sz="6" w:space="2" w:color="918585"/>
        <w:bottom w:val="single" w:sz="6" w:space="2" w:color="918585"/>
      </w:pBdr>
      <w:tabs>
        <w:tab w:val="left" w:pos="1021"/>
      </w:tabs>
      <w:ind w:firstLine="0"/>
    </w:pPr>
  </w:style>
  <w:style w:type="paragraph" w:customStyle="1" w:styleId="Warning">
    <w:name w:val="Warning"/>
    <w:basedOn w:val="BodyText"/>
    <w:rsid w:val="004033C1"/>
    <w:pPr>
      <w:shd w:val="clear" w:color="auto" w:fill="D9D9D9"/>
      <w:tabs>
        <w:tab w:val="left" w:pos="992"/>
      </w:tabs>
      <w:ind w:left="119" w:right="119"/>
    </w:pPr>
    <w:rPr>
      <w:sz w:val="20"/>
    </w:rPr>
  </w:style>
  <w:style w:type="paragraph" w:customStyle="1" w:styleId="MarginIcons">
    <w:name w:val="Margin Icons"/>
    <w:basedOn w:val="BodyText"/>
    <w:rsid w:val="00403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3C1"/>
    <w:rPr>
      <w:rFonts w:ascii="Courier New" w:hAnsi="Courier New"/>
    </w:rPr>
  </w:style>
  <w:style w:type="paragraph" w:customStyle="1" w:styleId="NoteBullet">
    <w:name w:val="Note Bullet"/>
    <w:basedOn w:val="Note"/>
    <w:rsid w:val="004033C1"/>
    <w:pPr>
      <w:tabs>
        <w:tab w:val="clear" w:pos="680"/>
      </w:tabs>
      <w:spacing w:before="60" w:after="60"/>
    </w:pPr>
  </w:style>
  <w:style w:type="paragraph" w:customStyle="1" w:styleId="SubHeading2">
    <w:name w:val="SubHeading2"/>
    <w:basedOn w:val="HeadingBase"/>
    <w:rsid w:val="004033C1"/>
    <w:pPr>
      <w:spacing w:before="240" w:after="60"/>
    </w:pPr>
    <w:rPr>
      <w:sz w:val="20"/>
    </w:rPr>
  </w:style>
  <w:style w:type="paragraph" w:customStyle="1" w:styleId="SubHeading1">
    <w:name w:val="SubHeading1"/>
    <w:basedOn w:val="HeadingBase"/>
    <w:rsid w:val="004033C1"/>
    <w:pPr>
      <w:spacing w:before="240" w:after="60"/>
    </w:pPr>
    <w:rPr>
      <w:color w:val="918585"/>
      <w:sz w:val="22"/>
    </w:rPr>
  </w:style>
  <w:style w:type="paragraph" w:customStyle="1" w:styleId="SideHeading">
    <w:name w:val="Side Heading"/>
    <w:basedOn w:val="HeadingBase"/>
    <w:rsid w:val="00403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3C1"/>
    <w:pPr>
      <w:tabs>
        <w:tab w:val="num" w:pos="360"/>
      </w:tabs>
    </w:pPr>
  </w:style>
  <w:style w:type="paragraph" w:styleId="PlainText">
    <w:name w:val="Plain Text"/>
    <w:basedOn w:val="Normal"/>
    <w:link w:val="PlainTextChar"/>
    <w:rsid w:val="004033C1"/>
    <w:rPr>
      <w:sz w:val="20"/>
    </w:rPr>
  </w:style>
  <w:style w:type="character" w:customStyle="1" w:styleId="PlainTextChar">
    <w:name w:val="Plain Text Char"/>
    <w:basedOn w:val="DefaultParagraphFont"/>
    <w:link w:val="PlainText"/>
    <w:rsid w:val="004033C1"/>
    <w:rPr>
      <w:rFonts w:ascii="Courier New" w:eastAsia="Times New Roman" w:hAnsi="Courier New" w:cs="Times New Roman"/>
      <w:sz w:val="20"/>
      <w:szCs w:val="20"/>
      <w:lang w:eastAsia="en-US"/>
    </w:rPr>
  </w:style>
  <w:style w:type="character" w:customStyle="1" w:styleId="MenuOption">
    <w:name w:val="Menu Option"/>
    <w:basedOn w:val="DefaultParagraphFont"/>
    <w:rsid w:val="004033C1"/>
    <w:rPr>
      <w:b/>
      <w:smallCaps/>
    </w:rPr>
  </w:style>
  <w:style w:type="paragraph" w:customStyle="1" w:styleId="TableListNumber">
    <w:name w:val="Table List Number"/>
    <w:basedOn w:val="ListNumber"/>
    <w:rsid w:val="004033C1"/>
    <w:pPr>
      <w:numPr>
        <w:numId w:val="0"/>
      </w:numPr>
    </w:pPr>
  </w:style>
  <w:style w:type="paragraph" w:styleId="TOC4">
    <w:name w:val="toc 4"/>
    <w:basedOn w:val="TOCBase"/>
    <w:next w:val="Normal"/>
    <w:semiHidden/>
    <w:rsid w:val="004033C1"/>
    <w:pPr>
      <w:tabs>
        <w:tab w:val="right" w:leader="dot" w:pos="9071"/>
      </w:tabs>
      <w:ind w:left="1701"/>
    </w:pPr>
  </w:style>
  <w:style w:type="paragraph" w:customStyle="1" w:styleId="ListAlpha">
    <w:name w:val="List Alpha"/>
    <w:basedOn w:val="List"/>
    <w:rsid w:val="004033C1"/>
    <w:pPr>
      <w:numPr>
        <w:numId w:val="9"/>
      </w:numPr>
    </w:pPr>
  </w:style>
  <w:style w:type="paragraph" w:customStyle="1" w:styleId="ListAlpha2">
    <w:name w:val="List Alpha 2"/>
    <w:basedOn w:val="List2"/>
    <w:rsid w:val="004033C1"/>
    <w:pPr>
      <w:numPr>
        <w:numId w:val="8"/>
      </w:numPr>
    </w:pPr>
  </w:style>
  <w:style w:type="paragraph" w:styleId="List2">
    <w:name w:val="List 2"/>
    <w:basedOn w:val="BodyText"/>
    <w:rsid w:val="004033C1"/>
    <w:pPr>
      <w:tabs>
        <w:tab w:val="left" w:pos="680"/>
      </w:tabs>
      <w:spacing w:before="60" w:after="60"/>
      <w:ind w:left="680" w:hanging="340"/>
    </w:pPr>
  </w:style>
  <w:style w:type="paragraph" w:styleId="List3">
    <w:name w:val="List 3"/>
    <w:basedOn w:val="BodyText"/>
    <w:rsid w:val="004033C1"/>
    <w:pPr>
      <w:tabs>
        <w:tab w:val="left" w:pos="1021"/>
      </w:tabs>
      <w:spacing w:before="60" w:after="60"/>
      <w:ind w:left="1020" w:hanging="340"/>
    </w:pPr>
  </w:style>
  <w:style w:type="paragraph" w:styleId="List4">
    <w:name w:val="List 4"/>
    <w:basedOn w:val="BodyText"/>
    <w:rsid w:val="004033C1"/>
    <w:pPr>
      <w:tabs>
        <w:tab w:val="left" w:pos="1361"/>
      </w:tabs>
      <w:spacing w:before="60" w:after="60"/>
      <w:ind w:left="1361" w:hanging="340"/>
    </w:pPr>
  </w:style>
  <w:style w:type="paragraph" w:styleId="List5">
    <w:name w:val="List 5"/>
    <w:basedOn w:val="BodyText"/>
    <w:rsid w:val="004033C1"/>
    <w:pPr>
      <w:tabs>
        <w:tab w:val="left" w:pos="1701"/>
      </w:tabs>
      <w:spacing w:before="60" w:after="60"/>
      <w:ind w:left="1701" w:hanging="340"/>
    </w:pPr>
  </w:style>
  <w:style w:type="paragraph" w:styleId="ListBullet3">
    <w:name w:val="List Bullet 3"/>
    <w:basedOn w:val="List3"/>
    <w:rsid w:val="004033C1"/>
    <w:pPr>
      <w:numPr>
        <w:numId w:val="14"/>
      </w:numPr>
      <w:tabs>
        <w:tab w:val="clear" w:pos="1021"/>
      </w:tabs>
      <w:ind w:left="1037" w:hanging="357"/>
    </w:pPr>
  </w:style>
  <w:style w:type="paragraph" w:styleId="ListBullet4">
    <w:name w:val="List Bullet 4"/>
    <w:basedOn w:val="List4"/>
    <w:rsid w:val="004033C1"/>
    <w:pPr>
      <w:numPr>
        <w:numId w:val="3"/>
      </w:numPr>
      <w:tabs>
        <w:tab w:val="clear" w:pos="1361"/>
      </w:tabs>
    </w:pPr>
  </w:style>
  <w:style w:type="paragraph" w:styleId="ListBullet5">
    <w:name w:val="List Bullet 5"/>
    <w:basedOn w:val="List5"/>
    <w:rsid w:val="004033C1"/>
    <w:pPr>
      <w:numPr>
        <w:numId w:val="4"/>
      </w:numPr>
    </w:pPr>
  </w:style>
  <w:style w:type="paragraph" w:styleId="ListContinue2">
    <w:name w:val="List Continue 2"/>
    <w:basedOn w:val="List2"/>
    <w:rsid w:val="004033C1"/>
    <w:pPr>
      <w:ind w:firstLine="0"/>
    </w:pPr>
  </w:style>
  <w:style w:type="paragraph" w:styleId="ListContinue3">
    <w:name w:val="List Continue 3"/>
    <w:basedOn w:val="List3"/>
    <w:rsid w:val="004033C1"/>
    <w:pPr>
      <w:ind w:left="1021" w:firstLine="0"/>
    </w:pPr>
  </w:style>
  <w:style w:type="paragraph" w:styleId="ListContinue4">
    <w:name w:val="List Continue 4"/>
    <w:basedOn w:val="List4"/>
    <w:rsid w:val="004033C1"/>
    <w:pPr>
      <w:ind w:firstLine="0"/>
    </w:pPr>
  </w:style>
  <w:style w:type="paragraph" w:styleId="ListContinue5">
    <w:name w:val="List Continue 5"/>
    <w:basedOn w:val="List5"/>
    <w:rsid w:val="004033C1"/>
    <w:pPr>
      <w:ind w:firstLine="0"/>
    </w:pPr>
  </w:style>
  <w:style w:type="paragraph" w:styleId="ListNumber3">
    <w:name w:val="List Number 3"/>
    <w:basedOn w:val="List3"/>
    <w:rsid w:val="004033C1"/>
    <w:pPr>
      <w:numPr>
        <w:numId w:val="5"/>
      </w:numPr>
    </w:pPr>
  </w:style>
  <w:style w:type="paragraph" w:styleId="ListNumber4">
    <w:name w:val="List Number 4"/>
    <w:basedOn w:val="List4"/>
    <w:rsid w:val="004033C1"/>
    <w:pPr>
      <w:numPr>
        <w:numId w:val="6"/>
      </w:numPr>
    </w:pPr>
  </w:style>
  <w:style w:type="paragraph" w:styleId="ListNumber5">
    <w:name w:val="List Number 5"/>
    <w:basedOn w:val="List5"/>
    <w:rsid w:val="004033C1"/>
    <w:pPr>
      <w:numPr>
        <w:numId w:val="7"/>
      </w:numPr>
    </w:pPr>
  </w:style>
  <w:style w:type="paragraph" w:styleId="BlockText">
    <w:name w:val="Block Text"/>
    <w:basedOn w:val="Normal"/>
    <w:rsid w:val="004033C1"/>
    <w:pPr>
      <w:spacing w:after="120"/>
      <w:ind w:left="1440" w:right="1440"/>
    </w:pPr>
  </w:style>
  <w:style w:type="character" w:customStyle="1" w:styleId="Subscript">
    <w:name w:val="Subscript"/>
    <w:basedOn w:val="DefaultParagraphFont"/>
    <w:rsid w:val="004033C1"/>
    <w:rPr>
      <w:sz w:val="16"/>
      <w:vertAlign w:val="subscript"/>
    </w:rPr>
  </w:style>
  <w:style w:type="character" w:customStyle="1" w:styleId="Superscript">
    <w:name w:val="Superscript"/>
    <w:basedOn w:val="DefaultParagraphFont"/>
    <w:rsid w:val="004033C1"/>
    <w:rPr>
      <w:sz w:val="16"/>
      <w:vertAlign w:val="superscript"/>
    </w:rPr>
  </w:style>
  <w:style w:type="character" w:customStyle="1" w:styleId="Symbols">
    <w:name w:val="Symbols"/>
    <w:basedOn w:val="DefaultParagraphFont"/>
    <w:rsid w:val="004033C1"/>
    <w:rPr>
      <w:rFonts w:ascii="Symbol" w:hAnsi="Symbol"/>
    </w:rPr>
  </w:style>
  <w:style w:type="character" w:customStyle="1" w:styleId="MenuOptions">
    <w:name w:val="Menu Options"/>
    <w:basedOn w:val="DefaultParagraphFont"/>
    <w:rsid w:val="004033C1"/>
    <w:rPr>
      <w:rFonts w:ascii="Arial Narrow" w:hAnsi="Arial Narrow"/>
      <w:smallCaps/>
    </w:rPr>
  </w:style>
  <w:style w:type="character" w:customStyle="1" w:styleId="Buttons">
    <w:name w:val="Buttons"/>
    <w:basedOn w:val="DefaultParagraphFont"/>
    <w:rsid w:val="004033C1"/>
    <w:rPr>
      <w:b/>
    </w:rPr>
  </w:style>
  <w:style w:type="character" w:customStyle="1" w:styleId="Underlined">
    <w:name w:val="Underlined"/>
    <w:basedOn w:val="DefaultParagraphFont"/>
    <w:rsid w:val="004033C1"/>
    <w:rPr>
      <w:u w:val="single"/>
    </w:rPr>
  </w:style>
  <w:style w:type="paragraph" w:customStyle="1" w:styleId="TableBodyTextRight">
    <w:name w:val="Table Body Text Right"/>
    <w:basedOn w:val="TableBodyText"/>
    <w:rsid w:val="004033C1"/>
    <w:pPr>
      <w:widowControl w:val="0"/>
      <w:autoSpaceDE w:val="0"/>
      <w:autoSpaceDN w:val="0"/>
      <w:adjustRightInd w:val="0"/>
      <w:jc w:val="right"/>
    </w:pPr>
    <w:rPr>
      <w:rFonts w:cs="Arial"/>
      <w:szCs w:val="18"/>
    </w:rPr>
  </w:style>
  <w:style w:type="paragraph" w:customStyle="1" w:styleId="CopyrightText">
    <w:name w:val="Copyright Text"/>
    <w:basedOn w:val="BodyText"/>
    <w:rsid w:val="004033C1"/>
    <w:rPr>
      <w:sz w:val="18"/>
    </w:rPr>
  </w:style>
  <w:style w:type="paragraph" w:customStyle="1" w:styleId="BodySmallRight">
    <w:name w:val="Body Small Right"/>
    <w:basedOn w:val="BodyTextRight"/>
    <w:rsid w:val="004033C1"/>
    <w:rPr>
      <w:sz w:val="18"/>
      <w:szCs w:val="18"/>
    </w:rPr>
  </w:style>
  <w:style w:type="paragraph" w:customStyle="1" w:styleId="MarginEdition">
    <w:name w:val="Margin Edition"/>
    <w:basedOn w:val="MarginNote"/>
    <w:rsid w:val="004033C1"/>
    <w:pPr>
      <w:spacing w:before="0" w:after="0"/>
    </w:pPr>
    <w:rPr>
      <w:rFonts w:ascii="Times New Roman" w:hAnsi="Times New Roman"/>
      <w:color w:val="999999"/>
    </w:rPr>
  </w:style>
  <w:style w:type="paragraph" w:customStyle="1" w:styleId="Spacer">
    <w:name w:val="Spacer"/>
    <w:basedOn w:val="Normal"/>
    <w:rsid w:val="004033C1"/>
    <w:rPr>
      <w:sz w:val="2"/>
      <w:szCs w:val="2"/>
    </w:rPr>
  </w:style>
  <w:style w:type="character" w:customStyle="1" w:styleId="Small">
    <w:name w:val="Small"/>
    <w:basedOn w:val="DefaultParagraphFont"/>
    <w:rsid w:val="004033C1"/>
    <w:rPr>
      <w:sz w:val="16"/>
    </w:rPr>
  </w:style>
  <w:style w:type="paragraph" w:customStyle="1" w:styleId="WideTable">
    <w:name w:val="Wide Table"/>
    <w:basedOn w:val="Normal"/>
    <w:rsid w:val="004033C1"/>
    <w:pPr>
      <w:ind w:left="-1418"/>
    </w:pPr>
    <w:rPr>
      <w:sz w:val="2"/>
      <w:szCs w:val="2"/>
    </w:rPr>
  </w:style>
  <w:style w:type="character" w:styleId="PageNumber">
    <w:name w:val="page number"/>
    <w:basedOn w:val="DefaultParagraphFont"/>
    <w:rsid w:val="004033C1"/>
  </w:style>
  <w:style w:type="paragraph" w:styleId="Quote">
    <w:name w:val="Quote"/>
    <w:basedOn w:val="Heading1"/>
    <w:link w:val="QuoteChar"/>
    <w:qFormat/>
    <w:rsid w:val="004033C1"/>
    <w:rPr>
      <w:b w:val="0"/>
      <w:sz w:val="72"/>
      <w:szCs w:val="72"/>
      <w:lang w:val="en-NZ"/>
    </w:rPr>
  </w:style>
  <w:style w:type="character" w:customStyle="1" w:styleId="QuoteChar">
    <w:name w:val="Quote Char"/>
    <w:basedOn w:val="DefaultParagraphFont"/>
    <w:link w:val="Quote"/>
    <w:rsid w:val="00403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3C1"/>
    <w:pPr>
      <w:pageBreakBefore/>
    </w:pPr>
  </w:style>
  <w:style w:type="paragraph" w:customStyle="1" w:styleId="Border">
    <w:name w:val="Border"/>
    <w:basedOn w:val="Normal"/>
    <w:qFormat/>
    <w:rsid w:val="00403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3C1"/>
    <w:rPr>
      <w:b/>
      <w:bCs/>
      <w:i/>
      <w:iCs/>
      <w:color w:val="auto"/>
    </w:rPr>
  </w:style>
  <w:style w:type="paragraph" w:styleId="IntenseQuote">
    <w:name w:val="Intense Quote"/>
    <w:basedOn w:val="Normal"/>
    <w:next w:val="Normal"/>
    <w:link w:val="IntenseQuoteChar"/>
    <w:uiPriority w:val="30"/>
    <w:qFormat/>
    <w:rsid w:val="00403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3C1"/>
    <w:rPr>
      <w:smallCaps/>
      <w:color w:val="auto"/>
      <w:u w:val="single"/>
    </w:rPr>
  </w:style>
  <w:style w:type="character" w:styleId="IntenseReference">
    <w:name w:val="Intense Reference"/>
    <w:basedOn w:val="DefaultParagraphFont"/>
    <w:uiPriority w:val="32"/>
    <w:qFormat/>
    <w:rsid w:val="004033C1"/>
    <w:rPr>
      <w:b/>
      <w:bCs/>
      <w:smallCaps/>
      <w:color w:val="auto"/>
      <w:spacing w:val="5"/>
      <w:u w:val="single"/>
    </w:rPr>
  </w:style>
  <w:style w:type="paragraph" w:customStyle="1" w:styleId="2ColumnHeading">
    <w:name w:val="2Column Heading"/>
    <w:basedOn w:val="BodyText"/>
    <w:qFormat/>
    <w:rsid w:val="004033C1"/>
    <w:pPr>
      <w:spacing w:after="60"/>
      <w:ind w:left="-2268"/>
    </w:pPr>
    <w:rPr>
      <w:b/>
    </w:rPr>
  </w:style>
  <w:style w:type="paragraph" w:customStyle="1" w:styleId="Heading1TOC">
    <w:name w:val="Heading1 TOC"/>
    <w:basedOn w:val="Normal"/>
    <w:qFormat/>
    <w:rsid w:val="004033C1"/>
    <w:pPr>
      <w:spacing w:before="240" w:after="120"/>
    </w:pPr>
    <w:rPr>
      <w:rFonts w:ascii="Times New Roman" w:hAnsi="Times New Roman"/>
      <w:b/>
      <w:sz w:val="32"/>
    </w:rPr>
  </w:style>
  <w:style w:type="paragraph" w:customStyle="1" w:styleId="Heading2TOC">
    <w:name w:val="Heading2 TOC"/>
    <w:basedOn w:val="Normal"/>
    <w:qFormat/>
    <w:rsid w:val="004033C1"/>
    <w:pPr>
      <w:spacing w:before="240" w:after="60"/>
    </w:pPr>
    <w:rPr>
      <w:rFonts w:ascii="Times New Roman" w:hAnsi="Times New Roman"/>
      <w:b/>
      <w:sz w:val="28"/>
    </w:rPr>
  </w:style>
  <w:style w:type="character" w:customStyle="1" w:styleId="Underline">
    <w:name w:val="Underline"/>
    <w:basedOn w:val="DefaultParagraphFont"/>
    <w:qFormat/>
    <w:rsid w:val="004033C1"/>
    <w:rPr>
      <w:u w:val="single"/>
    </w:rPr>
  </w:style>
  <w:style w:type="character" w:customStyle="1" w:styleId="BoldandItalics">
    <w:name w:val="Bold and Italics"/>
    <w:qFormat/>
    <w:rsid w:val="004033C1"/>
    <w:rPr>
      <w:b/>
      <w:i/>
      <w:u w:val="none"/>
    </w:rPr>
  </w:style>
  <w:style w:type="paragraph" w:styleId="BalloonText">
    <w:name w:val="Balloon Text"/>
    <w:basedOn w:val="Normal"/>
    <w:link w:val="BalloonTextChar"/>
    <w:rsid w:val="004033C1"/>
    <w:rPr>
      <w:rFonts w:ascii="Tahoma" w:hAnsi="Tahoma" w:cs="Tahoma"/>
      <w:sz w:val="16"/>
      <w:szCs w:val="16"/>
    </w:rPr>
  </w:style>
  <w:style w:type="character" w:customStyle="1" w:styleId="BalloonTextChar">
    <w:name w:val="Balloon Text Char"/>
    <w:basedOn w:val="DefaultParagraphFont"/>
    <w:link w:val="BalloonText"/>
    <w:rsid w:val="00403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3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3C1"/>
    <w:rPr>
      <w:b/>
      <w:color w:val="660033"/>
      <w:spacing w:val="0"/>
    </w:rPr>
  </w:style>
  <w:style w:type="paragraph" w:customStyle="1" w:styleId="Nameditemlist">
    <w:name w:val="Named item list"/>
    <w:basedOn w:val="BodyText"/>
    <w:qFormat/>
    <w:rsid w:val="004033C1"/>
    <w:pPr>
      <w:tabs>
        <w:tab w:val="left" w:pos="2835"/>
      </w:tabs>
      <w:ind w:left="2835" w:hanging="2835"/>
    </w:pPr>
  </w:style>
  <w:style w:type="paragraph" w:customStyle="1" w:styleId="BodyTextnopadding">
    <w:name w:val="Body Text no padding"/>
    <w:basedOn w:val="BodyText"/>
    <w:qFormat/>
    <w:rsid w:val="004033C1"/>
    <w:pPr>
      <w:spacing w:before="0" w:after="0"/>
    </w:pPr>
  </w:style>
  <w:style w:type="paragraph" w:customStyle="1" w:styleId="BodyTextBold">
    <w:name w:val="Body Text Bold"/>
    <w:basedOn w:val="BodyText"/>
    <w:qFormat/>
    <w:rsid w:val="004033C1"/>
    <w:rPr>
      <w:b/>
    </w:rPr>
  </w:style>
  <w:style w:type="character" w:styleId="Hyperlink">
    <w:name w:val="Hyperlink"/>
    <w:basedOn w:val="DefaultParagraphFont"/>
    <w:uiPriority w:val="99"/>
    <w:unhideWhenUsed/>
    <w:rsid w:val="00EE22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6139</Characters>
  <Application>Microsoft Office Word</Application>
  <DocSecurity>0</DocSecurity>
  <Lines>142</Lines>
  <Paragraphs>119</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UETTDRIS70 Diagnose and rectify faults in electrical energy distribution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2022-07-19T04:40:00Z</dcterms:created>
  <dcterms:modified xsi:type="dcterms:W3CDTF">2022-07-19T04:40:00Z</dcterms:modified>
</cp:coreProperties>
</file>