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464F" w:rsidP="002F464F">
      <w:pPr>
        <w:pStyle w:val="Title"/>
      </w:pPr>
      <w:r>
        <w:fldChar w:fldCharType="begin"/>
      </w:r>
      <w:r>
        <w:instrText xml:space="preserve"> TITLE   \* MERGEFORMAT </w:instrText>
      </w:r>
      <w:r>
        <w:fldChar w:fldCharType="separate"/>
      </w:r>
      <w:r>
        <w:t>UETTDRIS69 Diagnose and rectify faults in energy supply apparatus</w:t>
      </w:r>
      <w:r>
        <w:fldChar w:fldCharType="end"/>
      </w:r>
    </w:p>
    <w:p w:rsidR="002F464F" w:rsidP="002F464F">
      <w:pPr>
        <w:pStyle w:val="Version"/>
        <w:sectPr w:rsidSect="003139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39CC" w:rsidP="003139CC">
      <w:pPr>
        <w:pStyle w:val="SuperHeading"/>
      </w:pPr>
      <w:r w:rsidRPr="003139CC">
        <w:t>UETTDRIS69 Diagnose and rectify faults in energy supply apparatus</w:t>
      </w:r>
    </w:p>
    <w:p w:rsidR="00000000" w:rsidRPr="003139CC" w:rsidP="003139CC">
      <w:pPr>
        <w:pStyle w:val="Heading1"/>
      </w:pPr>
      <w:bookmarkStart w:id="1" w:name="O_1003706"/>
      <w:bookmarkEnd w:id="1"/>
      <w:r w:rsidRPr="003139CC">
        <w:t>Modification History</w:t>
      </w:r>
    </w:p>
    <w:tbl>
      <w:tblPr>
        <w:tblW w:w="9497" w:type="dxa"/>
        <w:tblLayout w:type="fixed"/>
        <w:tblCellMar>
          <w:left w:w="62" w:type="dxa"/>
          <w:right w:w="62" w:type="dxa"/>
        </w:tblCellMar>
        <w:tblLook w:val="0000"/>
      </w:tblPr>
      <w:tblGrid>
        <w:gridCol w:w="9497"/>
      </w:tblGrid>
      <w:tr w:rsidTr="003139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39CC" w:rsidP="003139CC">
            <w:pPr>
              <w:pStyle w:val="BodyText"/>
            </w:pPr>
            <w:r w:rsidRPr="003139CC">
              <w:t>Release 1. This is the first release of this unit of competency in the UET Transmission, Distribution and Rail Sector Training Package.</w:t>
            </w:r>
          </w:p>
        </w:tc>
      </w:tr>
    </w:tbl>
    <w:p w:rsidR="00000000" w:rsidRPr="003139CC" w:rsidP="003139CC">
      <w:pPr>
        <w:pStyle w:val="NoPaddingFontSize1"/>
      </w:pPr>
    </w:p>
    <w:p w:rsidR="00000000" w:rsidRPr="003139CC" w:rsidP="003139CC">
      <w:pPr>
        <w:pStyle w:val="AllowPageBreak"/>
      </w:pPr>
    </w:p>
    <w:p w:rsidR="00000000" w:rsidRPr="003139CC" w:rsidP="003139CC">
      <w:pPr>
        <w:pStyle w:val="Heading1"/>
      </w:pPr>
      <w:bookmarkStart w:id="2" w:name="O_1003707"/>
      <w:bookmarkEnd w:id="2"/>
      <w:r w:rsidRPr="003139CC">
        <w:t>Application</w:t>
      </w:r>
    </w:p>
    <w:tbl>
      <w:tblPr>
        <w:tblW w:w="9497" w:type="dxa"/>
        <w:tblLayout w:type="fixed"/>
        <w:tblCellMar>
          <w:left w:w="62" w:type="dxa"/>
          <w:right w:w="62" w:type="dxa"/>
        </w:tblCellMar>
        <w:tblLook w:val="0000"/>
      </w:tblPr>
      <w:tblGrid>
        <w:gridCol w:w="9497"/>
      </w:tblGrid>
      <w:tr w:rsidTr="003139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39CC" w:rsidP="003139CC">
            <w:pPr>
              <w:pStyle w:val="BodyText"/>
            </w:pPr>
            <w:r w:rsidRPr="003139CC">
              <w:t>This unit covers diagnosing and rectifying faults in apparatus in energy supply and distribution systems. The unit encompasses safe working practices, interpreting diagrams and technical data, applying knowledge of energy supply appara</w:t>
            </w:r>
            <w:r w:rsidRPr="003139CC">
              <w:t>tus to logical fault-finding processes, implementing fault rectification, safety and functional testing, and reporting work activities and outcomes.</w:t>
            </w:r>
          </w:p>
          <w:p w:rsidR="00000000" w:rsidRPr="003139CC" w:rsidP="003139CC">
            <w:pPr>
              <w:pStyle w:val="BodyText"/>
            </w:pPr>
            <w:r w:rsidRPr="003139CC">
              <w:t>The application of the skills and knowledge described in this unit requires a licence/registration to pract</w:t>
            </w:r>
            <w:r w:rsidRPr="003139CC">
              <w:t xml:space="preserve">ice in the workplace subject to regulations for undertaking of electrical work.  </w:t>
            </w:r>
          </w:p>
          <w:p w:rsidR="00000000" w:rsidRPr="003139CC" w:rsidP="003139CC">
            <w:pPr>
              <w:pStyle w:val="BodyText"/>
            </w:pPr>
            <w:r w:rsidRPr="003139CC">
              <w:t>Other conditions may apply under state and territory legislative and regulatory licencing requirements which must be confirmed prior to commencing this unit.</w:t>
            </w:r>
          </w:p>
        </w:tc>
      </w:tr>
    </w:tbl>
    <w:p w:rsidR="00000000" w:rsidRPr="003139CC" w:rsidP="003139CC">
      <w:pPr>
        <w:pStyle w:val="NoPaddingFontSize1"/>
      </w:pPr>
    </w:p>
    <w:p w:rsidR="00000000" w:rsidRPr="003139CC" w:rsidP="003139CC">
      <w:pPr>
        <w:pStyle w:val="AllowPageBreak"/>
      </w:pPr>
    </w:p>
    <w:p w:rsidR="00000000" w:rsidRPr="003139CC" w:rsidP="003139CC">
      <w:pPr>
        <w:pStyle w:val="Heading1"/>
      </w:pPr>
      <w:bookmarkStart w:id="3" w:name="O_1003708"/>
      <w:bookmarkEnd w:id="3"/>
      <w:r w:rsidRPr="003139CC">
        <w:t>Pre-requisite Unit</w:t>
      </w:r>
    </w:p>
    <w:tbl>
      <w:tblPr>
        <w:tblW w:w="9497" w:type="dxa"/>
        <w:tblLayout w:type="fixed"/>
        <w:tblCellMar>
          <w:left w:w="62" w:type="dxa"/>
          <w:right w:w="62" w:type="dxa"/>
        </w:tblCellMar>
        <w:tblLook w:val="0000"/>
      </w:tblPr>
      <w:tblGrid>
        <w:gridCol w:w="9497"/>
      </w:tblGrid>
      <w:tr w:rsidTr="003139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39CC" w:rsidP="003139CC">
            <w:pPr>
              <w:pStyle w:val="BodyText"/>
            </w:pPr>
            <w:r w:rsidRPr="003139CC">
              <w:t>Common Unit Group</w:t>
            </w:r>
          </w:p>
          <w:p w:rsidR="00000000" w:rsidRPr="003139CC" w:rsidP="003139CC">
            <w:pPr>
              <w:pStyle w:val="BodyText"/>
            </w:pPr>
            <w:r w:rsidRPr="003139CC">
              <w:t>UEENEEE101A Apply Occupational Health and Safety regulations, codes and practices in the workplace</w:t>
            </w:r>
          </w:p>
          <w:p w:rsidR="00000000" w:rsidRPr="003139CC" w:rsidP="003139CC">
            <w:pPr>
              <w:pStyle w:val="BodyText"/>
            </w:pPr>
            <w:r w:rsidRPr="003139CC">
              <w:t>UEENEEE102A Fabricate, assemble and dismantle utilities industry components</w:t>
            </w:r>
          </w:p>
          <w:p w:rsidR="00000000" w:rsidRPr="003139CC" w:rsidP="003139CC">
            <w:pPr>
              <w:pStyle w:val="BodyText"/>
            </w:pPr>
            <w:r w:rsidRPr="003139CC">
              <w:t>UEENEEE104A Solve problems in d.c. circ</w:t>
            </w:r>
            <w:r w:rsidRPr="003139CC">
              <w:t>uits</w:t>
            </w:r>
          </w:p>
          <w:p w:rsidR="00000000" w:rsidRPr="003139CC" w:rsidP="003139CC">
            <w:pPr>
              <w:pStyle w:val="BodyText"/>
            </w:pPr>
            <w:r w:rsidRPr="003139CC">
              <w:t>UEENEEE105A Fix and secure electrotechnology equipment</w:t>
            </w:r>
          </w:p>
          <w:p w:rsidR="00000000" w:rsidRPr="003139CC" w:rsidP="003139CC">
            <w:pPr>
              <w:pStyle w:val="BodyText"/>
            </w:pPr>
            <w:r w:rsidRPr="003139CC">
              <w:t>UEENEEE107A Use drawings, diagrams, schedules, standards, codes and specifications</w:t>
            </w:r>
          </w:p>
          <w:p w:rsidR="00000000" w:rsidRPr="003139CC" w:rsidP="003139CC">
            <w:pPr>
              <w:pStyle w:val="BodyText"/>
            </w:pPr>
            <w:r w:rsidRPr="003139CC">
              <w:t>UEENEEG101A Solve problems in electromagnetic devices and related circuits</w:t>
            </w:r>
          </w:p>
          <w:p w:rsidR="00000000" w:rsidRPr="003139CC" w:rsidP="003139CC">
            <w:pPr>
              <w:pStyle w:val="BodyText"/>
            </w:pPr>
            <w:r w:rsidRPr="003139CC">
              <w:t>UEENEEG102A Solve problems in low volt</w:t>
            </w:r>
            <w:r w:rsidRPr="003139CC">
              <w:t>age a.c. circuits</w:t>
            </w:r>
          </w:p>
          <w:p w:rsidR="00000000" w:rsidRPr="003139CC" w:rsidP="003139CC">
            <w:pPr>
              <w:pStyle w:val="BodyText"/>
            </w:pPr>
            <w:r w:rsidRPr="003139CC">
              <w:t>UEENEEG006A Solve problems in single and three phase low voltage machines</w:t>
            </w:r>
          </w:p>
          <w:p w:rsidR="00000000" w:rsidRPr="003139CC" w:rsidP="003139CC">
            <w:pPr>
              <w:pStyle w:val="BodyText"/>
            </w:pPr>
            <w:r w:rsidRPr="003139CC">
              <w:t>UEENEEG106A Terminate cables, cords and accessories for low voltage circuits</w:t>
            </w:r>
          </w:p>
          <w:p w:rsidR="00000000" w:rsidRPr="003139CC" w:rsidP="003139CC">
            <w:pPr>
              <w:pStyle w:val="BodyText"/>
            </w:pPr>
            <w:r w:rsidRPr="003139CC">
              <w:t>UETTDRIS67 Solve problems in energy supply network equipment</w:t>
            </w:r>
          </w:p>
          <w:p w:rsidR="00000000" w:rsidRPr="003139CC" w:rsidP="003139CC">
            <w:pPr>
              <w:pStyle w:val="BodyText"/>
            </w:pPr>
            <w:r w:rsidRPr="003139CC">
              <w:t>UETTDRIS68 Solve problems in energy supply network protection equipment and systems</w:t>
            </w:r>
          </w:p>
        </w:tc>
      </w:tr>
    </w:tbl>
    <w:p w:rsidR="00000000" w:rsidRPr="003139CC" w:rsidP="003139CC">
      <w:pPr>
        <w:pStyle w:val="NoPaddingFontSize1"/>
      </w:pPr>
    </w:p>
    <w:p w:rsidR="00000000" w:rsidRPr="003139CC" w:rsidP="003139CC">
      <w:pPr>
        <w:pStyle w:val="AllowPageBreak"/>
      </w:pPr>
    </w:p>
    <w:p w:rsidR="00000000" w:rsidRPr="003139CC" w:rsidP="003139CC">
      <w:pPr>
        <w:pStyle w:val="Heading1"/>
      </w:pPr>
      <w:bookmarkStart w:id="4" w:name="O_1003709"/>
      <w:bookmarkEnd w:id="4"/>
      <w:r w:rsidRPr="003139CC">
        <w:t>Competency Field</w:t>
      </w:r>
    </w:p>
    <w:tbl>
      <w:tblPr>
        <w:tblW w:w="9497" w:type="dxa"/>
        <w:tblLayout w:type="fixed"/>
        <w:tblCellMar>
          <w:left w:w="62" w:type="dxa"/>
          <w:right w:w="62" w:type="dxa"/>
        </w:tblCellMar>
        <w:tblLook w:val="0000"/>
      </w:tblPr>
      <w:tblGrid>
        <w:gridCol w:w="9497"/>
      </w:tblGrid>
      <w:tr w:rsidTr="003139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39CC" w:rsidP="003139CC">
            <w:pPr>
              <w:pStyle w:val="BodyText"/>
            </w:pPr>
            <w:r w:rsidRPr="003139CC">
              <w:t>Industry Specific Cross Discipline</w:t>
            </w:r>
          </w:p>
        </w:tc>
      </w:tr>
    </w:tbl>
    <w:p w:rsidR="00000000" w:rsidRPr="003139CC" w:rsidP="003139CC">
      <w:pPr>
        <w:pStyle w:val="NoPaddingFontSize1"/>
      </w:pPr>
    </w:p>
    <w:p w:rsidR="00000000" w:rsidRPr="003139CC" w:rsidP="003139CC">
      <w:pPr>
        <w:pStyle w:val="AllowPageBreak"/>
      </w:pPr>
    </w:p>
    <w:p w:rsidR="00000000" w:rsidRPr="003139CC" w:rsidP="003139CC">
      <w:pPr>
        <w:pStyle w:val="Heading1"/>
      </w:pPr>
      <w:bookmarkStart w:id="5" w:name="O_1003710"/>
      <w:bookmarkEnd w:id="5"/>
      <w:r w:rsidRPr="003139CC">
        <w:t>Unit Sector</w:t>
      </w:r>
    </w:p>
    <w:tbl>
      <w:tblPr>
        <w:tblW w:w="9497" w:type="dxa"/>
        <w:tblLayout w:type="fixed"/>
        <w:tblCellMar>
          <w:left w:w="62" w:type="dxa"/>
          <w:right w:w="62" w:type="dxa"/>
        </w:tblCellMar>
        <w:tblLook w:val="0000"/>
      </w:tblPr>
      <w:tblGrid>
        <w:gridCol w:w="9497"/>
      </w:tblGrid>
      <w:tr w:rsidTr="003139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39CC" w:rsidP="003139CC">
            <w:pPr>
              <w:pStyle w:val="BodyText"/>
            </w:pPr>
            <w:r w:rsidRPr="003139CC">
              <w:t>Not applicable.</w:t>
            </w:r>
          </w:p>
        </w:tc>
      </w:tr>
    </w:tbl>
    <w:p w:rsidR="00000000" w:rsidRPr="003139CC" w:rsidP="003139CC">
      <w:pPr>
        <w:pStyle w:val="NoPaddingFontSize1"/>
      </w:pPr>
    </w:p>
    <w:p w:rsidR="00000000" w:rsidRPr="003139CC" w:rsidP="003139CC">
      <w:pPr>
        <w:pStyle w:val="AllowPageBreak"/>
      </w:pPr>
    </w:p>
    <w:p w:rsidR="00000000" w:rsidRPr="003139CC" w:rsidP="003139CC">
      <w:pPr>
        <w:pStyle w:val="Heading1"/>
      </w:pPr>
      <w:bookmarkStart w:id="6" w:name="O_1003711"/>
      <w:bookmarkEnd w:id="6"/>
      <w:r w:rsidRPr="003139CC">
        <w:t>Elements and Performance Crit</w:t>
      </w:r>
      <w:r w:rsidRPr="003139CC">
        <w:t>eria</w:t>
      </w:r>
    </w:p>
    <w:tbl>
      <w:tblPr>
        <w:tblW w:w="9498" w:type="dxa"/>
        <w:tblLayout w:type="fixed"/>
        <w:tblCellMar>
          <w:left w:w="62" w:type="dxa"/>
          <w:right w:w="62" w:type="dxa"/>
        </w:tblCellMar>
        <w:tblLook w:val="0000"/>
      </w:tblPr>
      <w:tblGrid>
        <w:gridCol w:w="339"/>
        <w:gridCol w:w="2870"/>
        <w:gridCol w:w="697"/>
        <w:gridCol w:w="5592"/>
      </w:tblGrid>
      <w:tr w:rsidTr="003139C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139CC" w:rsidP="003139CC">
            <w:pPr>
              <w:pStyle w:val="BodyText"/>
            </w:pPr>
            <w:r w:rsidRPr="003139C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rPr>
                <w:rStyle w:val="SpecialBold"/>
              </w:rPr>
              <w:t>PERFORMANCE CRITERIA</w:t>
            </w:r>
          </w:p>
        </w:tc>
      </w:tr>
      <w:tr w:rsidTr="003139C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t>Performance criteria describe the performance needed to demonstrate achievement of the element.</w:t>
            </w:r>
          </w:p>
        </w:tc>
      </w:tr>
      <w:tr w:rsidTr="003139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139CC" w:rsidP="003139CC">
            <w:pPr>
              <w:pStyle w:val="BodyText"/>
            </w:pPr>
            <w:r w:rsidRPr="003139C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139CC" w:rsidP="003139CC">
            <w:pPr>
              <w:pStyle w:val="BodyText"/>
            </w:pPr>
            <w:r w:rsidRPr="003139CC">
              <w:rPr>
                <w:rStyle w:val="SpecialBold"/>
              </w:rPr>
              <w:t>Prepare to diagnose and rectify faults</w:t>
            </w:r>
          </w:p>
        </w:tc>
        <w:tc>
          <w:tcPr>
            <w:tcW w:w="697"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t>Work health and safety (WHS)/occupational health and safety (OHS) procedures for a given work area are identified, obtained and understood</w:t>
            </w:r>
          </w:p>
        </w:tc>
      </w:tr>
      <w:tr w:rsidTr="003139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39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t>Established WHS/OHS risk control measures and procedures in preparation for the work are followed</w:t>
            </w:r>
          </w:p>
        </w:tc>
      </w:tr>
      <w:tr w:rsidTr="003139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39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t>Safety hazards which have not previously been identified are documented and risk control measures devised and implemented in consultation with appropriate personnel</w:t>
            </w:r>
          </w:p>
        </w:tc>
      </w:tr>
      <w:tr w:rsidTr="003139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39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t>The extent of faults is determined from reports and other documentation and from dis</w:t>
            </w:r>
            <w:r w:rsidRPr="003139CC">
              <w:t>cussion with appropriate personnel</w:t>
            </w:r>
          </w:p>
        </w:tc>
      </w:tr>
      <w:tr w:rsidTr="003139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39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t>Appropriate personnel are consulted to ensure the work is coordinated effectively with others involved on the worksite</w:t>
            </w:r>
          </w:p>
        </w:tc>
      </w:tr>
      <w:tr w:rsidTr="003139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39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t>Tools, equipment and testing devices needed to diagnose faults are obtained in accordanc</w:t>
            </w:r>
            <w:r w:rsidRPr="003139CC">
              <w:t>e with established procedures and checked for correct operation and safety</w:t>
            </w:r>
          </w:p>
        </w:tc>
      </w:tr>
      <w:tr w:rsidTr="003139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139CC" w:rsidP="003139CC">
            <w:pPr>
              <w:pStyle w:val="BodyText"/>
            </w:pPr>
            <w:r w:rsidRPr="003139C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139CC" w:rsidP="003139CC">
            <w:pPr>
              <w:pStyle w:val="BodyText"/>
            </w:pPr>
            <w:r w:rsidRPr="003139CC">
              <w:rPr>
                <w:rStyle w:val="SpecialBold"/>
              </w:rPr>
              <w:t>Diagnose and rectify faults</w:t>
            </w:r>
          </w:p>
        </w:tc>
        <w:tc>
          <w:tcPr>
            <w:tcW w:w="697"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t>WHS/OHS risk control measures and procedures for carrying out the work are followed</w:t>
            </w:r>
          </w:p>
        </w:tc>
      </w:tr>
      <w:tr w:rsidTr="003139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39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t>The need to test or measure</w:t>
            </w:r>
            <w:r w:rsidRPr="003139CC">
              <w:t xml:space="preserve"> live work is determined in strict accordance with WHS/OHS requirements and, when necessary, conducted within established safety procedures</w:t>
            </w:r>
          </w:p>
        </w:tc>
      </w:tr>
      <w:tr w:rsidTr="003139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39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t>Circuits/machines/plant are checked as being isolated, where necessary, in strict accordance with WHS/OHS req</w:t>
            </w:r>
            <w:r w:rsidRPr="003139CC">
              <w:t>uirements and procedures</w:t>
            </w:r>
          </w:p>
        </w:tc>
      </w:tr>
      <w:tr w:rsidTr="003139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39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t>Logical diagnostic methods are applied to diagnose energy supply apparatus faults employing measurements and estimations of system operating parameters referenced to system operational requirements</w:t>
            </w:r>
          </w:p>
        </w:tc>
      </w:tr>
      <w:tr w:rsidTr="003139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39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t>Suspected fault scenarios are tested as being the source of system problems</w:t>
            </w:r>
          </w:p>
        </w:tc>
      </w:tr>
      <w:tr w:rsidTr="003139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39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t>Causes of faults are identified and appropriately competent person/s engaged to rectify the fault where it is outside the scope of the control system</w:t>
            </w:r>
          </w:p>
        </w:tc>
      </w:tr>
      <w:tr w:rsidTr="003139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39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t>Faults in apparatus components are rectified to raise energy supply apparatus to its operation standard</w:t>
            </w:r>
          </w:p>
        </w:tc>
      </w:tr>
      <w:tr w:rsidTr="003139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39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t>Apparatus is tested to verify that it operates as intended and to specified requirements</w:t>
            </w:r>
          </w:p>
        </w:tc>
      </w:tr>
      <w:tr w:rsidTr="003139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39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t xml:space="preserve">Decisions for dealing with unexpected situations </w:t>
            </w:r>
            <w:r w:rsidRPr="003139CC">
              <w:t>are made from discussions with appropriate personnel and job specifications and requirements</w:t>
            </w:r>
          </w:p>
        </w:tc>
      </w:tr>
      <w:tr w:rsidTr="003139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39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t>Methods for dealing with unexpected situations are selected on the basis of safety and specified work outcomes</w:t>
            </w:r>
          </w:p>
        </w:tc>
      </w:tr>
      <w:tr w:rsidTr="003139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39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t xml:space="preserve">Diagnosis and rectification </w:t>
            </w:r>
            <w:r w:rsidRPr="003139CC">
              <w:t>activities are carried out efficiently without unnecessary waste of materials or damage to apparatus, the surrounding environment or services using sustainable energy practices</w:t>
            </w:r>
          </w:p>
        </w:tc>
      </w:tr>
      <w:tr w:rsidTr="003139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139CC" w:rsidP="003139CC">
            <w:pPr>
              <w:pStyle w:val="BodyText"/>
            </w:pPr>
            <w:r w:rsidRPr="003139C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139CC" w:rsidP="003139CC">
            <w:pPr>
              <w:pStyle w:val="BodyText"/>
            </w:pPr>
            <w:r w:rsidRPr="003139CC">
              <w:rPr>
                <w:rStyle w:val="SpecialBold"/>
              </w:rPr>
              <w:t>Complete and report fault diagnosis and rectification activities</w:t>
            </w:r>
          </w:p>
        </w:tc>
        <w:tc>
          <w:tcPr>
            <w:tcW w:w="697"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t>WHS/OHS</w:t>
            </w:r>
            <w:r w:rsidRPr="003139CC">
              <w:t xml:space="preserve"> work completion risk control measures and procedures are followed</w:t>
            </w:r>
          </w:p>
        </w:tc>
      </w:tr>
      <w:tr w:rsidTr="003139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39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t>Worksite is made safe in accordance with established safety procedures</w:t>
            </w:r>
          </w:p>
        </w:tc>
      </w:tr>
      <w:tr w:rsidTr="003139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39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t>Rectification of faults is documented in accordance with established procedures</w:t>
            </w:r>
          </w:p>
        </w:tc>
      </w:tr>
      <w:tr w:rsidTr="003139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39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3139CC" w:rsidP="003139CC">
            <w:pPr>
              <w:pStyle w:val="BodyText"/>
            </w:pPr>
            <w:r w:rsidRPr="003139CC">
              <w:t>Appropriate person/s is notified in accordance with established procedures that the system faults have been rectified</w:t>
            </w:r>
          </w:p>
        </w:tc>
      </w:tr>
    </w:tbl>
    <w:p w:rsidR="00000000" w:rsidRPr="003139CC" w:rsidP="003139CC">
      <w:pPr>
        <w:pStyle w:val="NoPaddingFontSize1"/>
      </w:pPr>
    </w:p>
    <w:p w:rsidR="00000000" w:rsidRPr="003139CC" w:rsidP="003139CC">
      <w:pPr>
        <w:pStyle w:val="AllowPageBreak"/>
      </w:pPr>
    </w:p>
    <w:p w:rsidR="00000000" w:rsidRPr="003139CC" w:rsidP="003139CC">
      <w:pPr>
        <w:pStyle w:val="Heading1"/>
      </w:pPr>
      <w:bookmarkStart w:id="7" w:name="O_1003712"/>
      <w:bookmarkEnd w:id="7"/>
      <w:r w:rsidRPr="003139CC">
        <w:t>Foundation Skills</w:t>
      </w:r>
    </w:p>
    <w:tbl>
      <w:tblPr>
        <w:tblW w:w="9497" w:type="dxa"/>
        <w:tblLayout w:type="fixed"/>
        <w:tblCellMar>
          <w:left w:w="62" w:type="dxa"/>
          <w:right w:w="62" w:type="dxa"/>
        </w:tblCellMar>
        <w:tblLook w:val="0000"/>
      </w:tblPr>
      <w:tblGrid>
        <w:gridCol w:w="9497"/>
      </w:tblGrid>
      <w:tr w:rsidTr="003139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39CC" w:rsidP="003139CC">
            <w:pPr>
              <w:pStyle w:val="BodyText"/>
            </w:pPr>
            <w:r w:rsidRPr="003139CC">
              <w:t>Foundation skills essential to performance are explicit in the performance criteria of this unit of</w:t>
            </w:r>
            <w:r w:rsidRPr="003139CC">
              <w:t xml:space="preserve"> competency.</w:t>
            </w:r>
          </w:p>
        </w:tc>
      </w:tr>
    </w:tbl>
    <w:p w:rsidR="00000000" w:rsidRPr="003139CC" w:rsidP="003139CC">
      <w:pPr>
        <w:pStyle w:val="NoPaddingFontSize1"/>
      </w:pPr>
    </w:p>
    <w:p w:rsidR="00000000" w:rsidRPr="003139CC" w:rsidP="003139CC">
      <w:pPr>
        <w:pStyle w:val="AllowPageBreak"/>
      </w:pPr>
    </w:p>
    <w:p w:rsidR="00000000" w:rsidRPr="003139CC" w:rsidP="003139CC">
      <w:pPr>
        <w:pStyle w:val="Heading1"/>
      </w:pPr>
      <w:bookmarkStart w:id="8" w:name="O_1003713"/>
      <w:bookmarkEnd w:id="8"/>
      <w:r w:rsidRPr="003139CC">
        <w:t>Range of Conditions</w:t>
      </w:r>
    </w:p>
    <w:tbl>
      <w:tblPr>
        <w:tblW w:w="9497" w:type="dxa"/>
        <w:tblLayout w:type="fixed"/>
        <w:tblCellMar>
          <w:left w:w="62" w:type="dxa"/>
          <w:right w:w="62" w:type="dxa"/>
        </w:tblCellMar>
        <w:tblLook w:val="0000"/>
      </w:tblPr>
      <w:tblGrid>
        <w:gridCol w:w="9497"/>
      </w:tblGrid>
      <w:tr w:rsidTr="003139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39CC" w:rsidP="003139CC">
            <w:pPr>
              <w:pStyle w:val="BodyText"/>
            </w:pPr>
            <w:r w:rsidRPr="003139CC">
              <w:t>Range is restricted to essential operating conditions and any other variables essential to the work environment.</w:t>
            </w:r>
          </w:p>
          <w:p w:rsidR="00000000" w:rsidRPr="003139CC" w:rsidP="003139CC">
            <w:pPr>
              <w:pStyle w:val="BodyText"/>
            </w:pPr>
            <w:r w:rsidRPr="003139CC">
              <w:t>Non-essential conditions may be found in the Companion Volume Implementation Guide.</w:t>
            </w:r>
          </w:p>
        </w:tc>
      </w:tr>
    </w:tbl>
    <w:p w:rsidR="00000000" w:rsidRPr="003139CC" w:rsidP="003139CC">
      <w:pPr>
        <w:pStyle w:val="NoPaddingFontSize1"/>
      </w:pPr>
    </w:p>
    <w:p w:rsidR="00000000" w:rsidRPr="003139CC" w:rsidP="003139CC">
      <w:pPr>
        <w:pStyle w:val="AllowPageBreak"/>
      </w:pPr>
    </w:p>
    <w:p w:rsidR="00000000" w:rsidRPr="003139CC" w:rsidP="003139CC">
      <w:pPr>
        <w:pStyle w:val="Heading1"/>
      </w:pPr>
      <w:bookmarkStart w:id="9" w:name="O_1003714"/>
      <w:bookmarkEnd w:id="9"/>
      <w:r w:rsidRPr="003139CC">
        <w:t>Unit Mapping Information</w:t>
      </w:r>
    </w:p>
    <w:tbl>
      <w:tblPr>
        <w:tblW w:w="9497" w:type="dxa"/>
        <w:tblLayout w:type="fixed"/>
        <w:tblCellMar>
          <w:left w:w="62" w:type="dxa"/>
          <w:right w:w="62" w:type="dxa"/>
        </w:tblCellMar>
        <w:tblLook w:val="0000"/>
      </w:tblPr>
      <w:tblGrid>
        <w:gridCol w:w="9497"/>
      </w:tblGrid>
      <w:tr w:rsidTr="003139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39CC" w:rsidP="003139CC">
            <w:pPr>
              <w:pStyle w:val="BodyText"/>
            </w:pPr>
            <w:r w:rsidRPr="003139CC">
              <w:t>This unit replaces and is equivalent to UETTDRIS69A Diagnose and rectify faults in energy supply apparatus.</w:t>
            </w:r>
          </w:p>
        </w:tc>
      </w:tr>
    </w:tbl>
    <w:p w:rsidR="00000000" w:rsidRPr="003139CC" w:rsidP="003139CC">
      <w:pPr>
        <w:pStyle w:val="NoPaddingFontSize1"/>
      </w:pPr>
    </w:p>
    <w:p w:rsidR="00000000" w:rsidRPr="003139CC" w:rsidP="003139CC">
      <w:pPr>
        <w:pStyle w:val="AllowPageBreak"/>
      </w:pPr>
    </w:p>
    <w:p w:rsidR="00000000" w:rsidRPr="003139CC" w:rsidP="003139CC">
      <w:pPr>
        <w:pStyle w:val="Heading1"/>
      </w:pPr>
      <w:bookmarkStart w:id="10" w:name="O_1003721"/>
      <w:bookmarkEnd w:id="10"/>
      <w:r w:rsidRPr="003139CC">
        <w:t>Links</w:t>
      </w:r>
    </w:p>
    <w:p w:rsidR="00000000" w:rsidRPr="003139CC" w:rsidP="002F464F">
      <w:pPr>
        <w:pStyle w:val="BodyText"/>
      </w:pPr>
      <w:r w:rsidRPr="003139CC">
        <w:t xml:space="preserve">UET Training Package Companion Volume Implementation Guide is found in VETNet </w:t>
      </w:r>
      <w:r w:rsidRPr="003139CC">
        <w:t xml:space="preserve">- </w:t>
      </w:r>
      <w:r>
        <w:fldChar w:fldCharType="begin"/>
      </w:r>
      <w:r>
        <w:instrText xml:space="preserve"> HYPERLINK "https://vetnet.gov.au/Pages/TrainingDocs.aspx?q=229bace1-b7bc-4653-9300-dffb13ecfad7" </w:instrText>
      </w:r>
      <w:r>
        <w:fldChar w:fldCharType="separate"/>
      </w:r>
      <w:r w:rsidRPr="00996627">
        <w:rPr>
          <w:rStyle w:val="Hyperlink"/>
        </w:rPr>
        <w:t>https://vetnet.gov.au/Pages/TrainingDocs.aspx?q=229bace1-b7bc-4653-9300-dffb13ecfad7</w:t>
      </w:r>
      <w:r>
        <w:fldChar w:fldCharType="end"/>
      </w:r>
    </w:p>
    <w:p w:rsidR="00000000" w:rsidRPr="003139CC" w:rsidP="002F464F">
      <w:pPr>
        <w:pStyle w:val="BodyText"/>
        <w:sectPr w:rsidSect="003139CC">
          <w:headerReference w:type="default" r:id="rId10"/>
          <w:footerReference w:type="default" r:id="rId11"/>
          <w:pgSz w:w="11908" w:h="16833"/>
          <w:pgMar w:top="1702" w:right="1418" w:bottom="1702" w:left="1418" w:header="992" w:footer="992" w:gutter="0"/>
          <w:cols w:space="720"/>
          <w:noEndnote/>
          <w:docGrid w:linePitch="299"/>
        </w:sectPr>
      </w:pPr>
    </w:p>
    <w:p w:rsidR="00000000" w:rsidRPr="003139CC" w:rsidP="003139CC">
      <w:pPr>
        <w:pStyle w:val="SuperHeading"/>
      </w:pPr>
      <w:r w:rsidRPr="003139CC">
        <w:t>Assessment Requirements for UETTDRIS69 Diagnose and rectify faults in energy supply apparatus</w:t>
      </w:r>
    </w:p>
    <w:p w:rsidR="00000000" w:rsidRPr="003139CC" w:rsidP="003139CC">
      <w:pPr>
        <w:pStyle w:val="Heading1"/>
      </w:pPr>
      <w:bookmarkStart w:id="11" w:name="O_1003716"/>
      <w:bookmarkEnd w:id="11"/>
      <w:r w:rsidRPr="003139CC">
        <w:t>Modificati</w:t>
      </w:r>
      <w:r w:rsidRPr="003139CC">
        <w:t>on History</w:t>
      </w:r>
    </w:p>
    <w:tbl>
      <w:tblPr>
        <w:tblW w:w="9497" w:type="dxa"/>
        <w:tblLayout w:type="fixed"/>
        <w:tblCellMar>
          <w:left w:w="62" w:type="dxa"/>
          <w:right w:w="62" w:type="dxa"/>
        </w:tblCellMar>
        <w:tblLook w:val="0000"/>
      </w:tblPr>
      <w:tblGrid>
        <w:gridCol w:w="9497"/>
      </w:tblGrid>
      <w:tr w:rsidTr="003139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39CC" w:rsidP="003139CC">
            <w:pPr>
              <w:pStyle w:val="BodyText"/>
            </w:pPr>
            <w:r w:rsidRPr="003139CC">
              <w:t>Release 1. This is the first release of this unit of competency in the UET Transmission, Distribution and Rail Sector Training Package.</w:t>
            </w:r>
          </w:p>
        </w:tc>
      </w:tr>
    </w:tbl>
    <w:p w:rsidR="00000000" w:rsidRPr="003139CC" w:rsidP="003139CC">
      <w:pPr>
        <w:pStyle w:val="NoPaddingFontSize1"/>
      </w:pPr>
    </w:p>
    <w:p w:rsidR="00000000" w:rsidRPr="003139CC" w:rsidP="003139CC">
      <w:pPr>
        <w:pStyle w:val="AllowPageBreak"/>
      </w:pPr>
    </w:p>
    <w:p w:rsidR="00000000" w:rsidRPr="003139CC" w:rsidP="003139CC">
      <w:pPr>
        <w:pStyle w:val="Heading1"/>
      </w:pPr>
      <w:bookmarkStart w:id="12" w:name="O_1003717"/>
      <w:bookmarkEnd w:id="12"/>
      <w:r w:rsidRPr="003139CC">
        <w:t>Performance Evidence</w:t>
      </w:r>
    </w:p>
    <w:tbl>
      <w:tblPr>
        <w:tblW w:w="9497" w:type="dxa"/>
        <w:tblLayout w:type="fixed"/>
        <w:tblCellMar>
          <w:left w:w="62" w:type="dxa"/>
          <w:right w:w="62" w:type="dxa"/>
        </w:tblCellMar>
        <w:tblLook w:val="0000"/>
      </w:tblPr>
      <w:tblGrid>
        <w:gridCol w:w="9497"/>
      </w:tblGrid>
      <w:tr w:rsidTr="003139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t xml:space="preserve">Evidence required to demonstrate competence in this unit must be relevant to and satisfy all of the requirements of the elements and performance criteria on at least two separate occasions and include:  </w:t>
            </w:r>
          </w:p>
        </w:tc>
      </w:tr>
      <w:tr w:rsidTr="003139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39CC" w:rsidP="003139CC">
            <w:pPr>
              <w:pStyle w:val="ListBullet"/>
            </w:pPr>
            <w:r w:rsidRPr="003139CC">
              <w:t>applying relevant work health and safety (WHS)/occ</w:t>
            </w:r>
            <w:r w:rsidRPr="003139CC">
              <w:t>upational health and safety (OHS) requirements, including the use of risk control measures</w:t>
            </w:r>
          </w:p>
          <w:p w:rsidR="00000000" w:rsidRPr="003139CC" w:rsidP="003139CC">
            <w:pPr>
              <w:pStyle w:val="ListBullet"/>
            </w:pPr>
            <w:r w:rsidRPr="003139CC">
              <w:t>applying sustainable energy principles and practices</w:t>
            </w:r>
          </w:p>
          <w:p w:rsidR="00000000" w:rsidRPr="003139CC" w:rsidP="003139CC">
            <w:pPr>
              <w:pStyle w:val="ListBullet"/>
            </w:pPr>
            <w:r w:rsidRPr="003139CC">
              <w:t>diagnosing and rectifying faults in energy supply apparatus, including:</w:t>
            </w:r>
          </w:p>
          <w:p w:rsidR="00000000" w:rsidRPr="003139CC" w:rsidP="003139CC">
            <w:pPr>
              <w:pStyle w:val="ListBullet2"/>
            </w:pPr>
            <w:r w:rsidRPr="003139CC">
              <w:t>applying logical diagnostic methods</w:t>
            </w:r>
          </w:p>
          <w:p w:rsidR="00000000" w:rsidRPr="003139CC" w:rsidP="003139CC">
            <w:pPr>
              <w:pStyle w:val="ListBullet2"/>
            </w:pPr>
            <w:r w:rsidRPr="003139CC">
              <w:t>using fault scenarios to test the cause of system faults</w:t>
            </w:r>
          </w:p>
          <w:p w:rsidR="00000000" w:rsidRPr="003139CC" w:rsidP="003139CC">
            <w:pPr>
              <w:pStyle w:val="ListBullet2"/>
            </w:pPr>
            <w:r w:rsidRPr="003139CC">
              <w:t>identifying faults and competency needed to rectify them</w:t>
            </w:r>
          </w:p>
          <w:p w:rsidR="00000000" w:rsidRPr="003139CC" w:rsidP="003139CC">
            <w:pPr>
              <w:pStyle w:val="ListBullet2"/>
            </w:pPr>
            <w:r w:rsidRPr="003139CC">
              <w:t>rectifying faults in system controls</w:t>
            </w:r>
          </w:p>
          <w:p w:rsidR="00000000" w:rsidRPr="003139CC" w:rsidP="003139CC">
            <w:pPr>
              <w:pStyle w:val="ListBullet2"/>
            </w:pPr>
            <w:r w:rsidRPr="003139CC">
              <w:t>verifying that the system operates correctly</w:t>
            </w:r>
          </w:p>
          <w:p w:rsidR="00000000" w:rsidRPr="003139CC" w:rsidP="003139CC">
            <w:pPr>
              <w:pStyle w:val="ListBullet2"/>
            </w:pPr>
            <w:r w:rsidRPr="003139CC">
              <w:t>documenting fault rectification</w:t>
            </w:r>
          </w:p>
          <w:p w:rsidR="00000000" w:rsidRPr="003139CC" w:rsidP="003139CC">
            <w:pPr>
              <w:pStyle w:val="ListBullet2"/>
            </w:pPr>
            <w:r w:rsidRPr="003139CC">
              <w:t>dealing with unplanned event</w:t>
            </w:r>
            <w:r w:rsidRPr="003139CC">
              <w:t>s on at least one occasion.</w:t>
            </w:r>
          </w:p>
          <w:p w:rsidR="00000000" w:rsidRPr="003139CC" w:rsidP="003139CC">
            <w:pPr>
              <w:pStyle w:val="BodyText"/>
            </w:pPr>
            <w:r w:rsidRPr="003139CC">
              <w:t xml:space="preserve">Note: </w:t>
            </w:r>
          </w:p>
          <w:p w:rsidR="00000000" w:rsidRPr="003139CC" w:rsidP="003139CC">
            <w:pPr>
              <w:pStyle w:val="BodyText"/>
            </w:pPr>
            <w:r w:rsidRPr="003139CC">
              <w:t>Successful completion of relevant vendor training may be used to contribute to evidence on which competency is deemed. In these cases, the alignment of outcomes of vendor training with performance criteria and critical as</w:t>
            </w:r>
            <w:r w:rsidRPr="003139CC">
              <w:t>pects of evidence shall be clearly identified.</w:t>
            </w:r>
          </w:p>
        </w:tc>
      </w:tr>
    </w:tbl>
    <w:p w:rsidR="00000000" w:rsidRPr="003139CC" w:rsidP="003139CC">
      <w:pPr>
        <w:pStyle w:val="NoPaddingFontSize1"/>
      </w:pPr>
    </w:p>
    <w:p w:rsidR="00000000" w:rsidRPr="003139CC" w:rsidP="003139CC">
      <w:pPr>
        <w:pStyle w:val="AllowPageBreak"/>
      </w:pPr>
    </w:p>
    <w:p w:rsidR="00000000" w:rsidRPr="003139CC" w:rsidP="003139CC">
      <w:pPr>
        <w:pStyle w:val="Heading1"/>
      </w:pPr>
      <w:bookmarkStart w:id="13" w:name="O_1003718"/>
      <w:bookmarkEnd w:id="13"/>
      <w:r w:rsidRPr="003139CC">
        <w:t>Knowledge Evidence</w:t>
      </w:r>
    </w:p>
    <w:tbl>
      <w:tblPr>
        <w:tblW w:w="9497" w:type="dxa"/>
        <w:tblLayout w:type="fixed"/>
        <w:tblCellMar>
          <w:left w:w="62" w:type="dxa"/>
          <w:right w:w="62" w:type="dxa"/>
        </w:tblCellMar>
        <w:tblLook w:val="0000"/>
      </w:tblPr>
      <w:tblGrid>
        <w:gridCol w:w="9497"/>
      </w:tblGrid>
      <w:tr w:rsidTr="003139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139CC">
            <w:pPr>
              <w:pStyle w:val="BodyText"/>
              <w:rPr>
                <w:lang w:val="en-NZ"/>
              </w:rPr>
            </w:pPr>
            <w:r w:rsidRPr="003139CC">
              <w:t xml:space="preserve">Evidence required to demonstrate competence in this unit must be relevant to and satisfy all of the requirements of the elements and performance criteria and </w:t>
            </w:r>
            <w:r w:rsidRPr="003139CC">
              <w:t>include knowledge of:</w:t>
            </w:r>
          </w:p>
        </w:tc>
      </w:tr>
      <w:tr w:rsidTr="003139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39CC" w:rsidP="003139CC">
            <w:pPr>
              <w:pStyle w:val="ListBullet"/>
            </w:pPr>
            <w:r w:rsidRPr="003139CC">
              <w:t>control of voltage encompassing:</w:t>
            </w:r>
          </w:p>
          <w:p w:rsidR="00000000" w:rsidRPr="003139CC" w:rsidP="003139CC">
            <w:pPr>
              <w:pStyle w:val="ListBullet2"/>
            </w:pPr>
            <w:r w:rsidRPr="003139CC">
              <w:t>conditions leading to voltage collapse and system disintegration</w:t>
            </w:r>
          </w:p>
          <w:p w:rsidR="00000000" w:rsidRPr="003139CC" w:rsidP="003139CC">
            <w:pPr>
              <w:pStyle w:val="ListBullet2"/>
            </w:pPr>
            <w:r w:rsidRPr="003139CC">
              <w:t>effects on the system of high voltage (HV)/low voltage (LV)</w:t>
            </w:r>
          </w:p>
          <w:p w:rsidR="00000000" w:rsidRPr="003139CC" w:rsidP="003139CC">
            <w:pPr>
              <w:pStyle w:val="ListBullet2"/>
            </w:pPr>
            <w:r w:rsidRPr="003139CC">
              <w:t>voltage control devices - voltage regulators applied to generators and synchronous phase modifiers; electromagnetic voltage regulators; series and parallel capacitors; on-load tap changers (OLTC) transformers and static VAR compensations (SVCs), such as sa</w:t>
            </w:r>
            <w:r w:rsidRPr="003139CC">
              <w:t>turated reactor (SR) compensations, thyristor controlled reactor (TCR) compensators, combined TCR/TSCs and the production of wave-form distorting harmonics and control devices</w:t>
            </w:r>
          </w:p>
          <w:p w:rsidR="00000000" w:rsidRPr="003139CC" w:rsidP="003139CC">
            <w:pPr>
              <w:pStyle w:val="ListBullet"/>
            </w:pPr>
            <w:r w:rsidRPr="003139CC">
              <w:t>the importance of the location in the system of voltage control devices</w:t>
            </w:r>
          </w:p>
          <w:p w:rsidR="00000000" w:rsidRPr="003139CC" w:rsidP="003139CC">
            <w:pPr>
              <w:pStyle w:val="ListBullet"/>
            </w:pPr>
            <w:r w:rsidRPr="003139CC">
              <w:t>the use</w:t>
            </w:r>
            <w:r w:rsidRPr="003139CC">
              <w:t xml:space="preserve"> of graphical methods to calculate the size of VAR regulating plant</w:t>
            </w:r>
          </w:p>
          <w:p w:rsidR="00000000" w:rsidRPr="003139CC" w:rsidP="003139CC">
            <w:pPr>
              <w:pStyle w:val="ListBullet"/>
            </w:pPr>
            <w:r w:rsidRPr="003139CC">
              <w:t>control of power encompassing:</w:t>
            </w:r>
          </w:p>
          <w:p w:rsidR="00000000" w:rsidRPr="003139CC" w:rsidP="003139CC">
            <w:pPr>
              <w:pStyle w:val="ListBullet2"/>
            </w:pPr>
            <w:r w:rsidRPr="003139CC">
              <w:t>base load and spinning reserve</w:t>
            </w:r>
          </w:p>
          <w:p w:rsidR="00000000" w:rsidRPr="003139CC" w:rsidP="003139CC">
            <w:pPr>
              <w:pStyle w:val="ListBullet2"/>
            </w:pPr>
            <w:r w:rsidRPr="003139CC">
              <w:t>regulating machines</w:t>
            </w:r>
          </w:p>
          <w:p w:rsidR="00000000" w:rsidRPr="003139CC" w:rsidP="003139CC">
            <w:pPr>
              <w:pStyle w:val="ListBullet2"/>
            </w:pPr>
            <w:r w:rsidRPr="003139CC">
              <w:t>rapid start plant</w:t>
            </w:r>
          </w:p>
          <w:p w:rsidR="00000000" w:rsidRPr="003139CC" w:rsidP="003139CC">
            <w:pPr>
              <w:pStyle w:val="ListBullet2"/>
            </w:pPr>
            <w:r w:rsidRPr="003139CC">
              <w:t>phase shifting transformers and various forms of load shedding</w:t>
            </w:r>
          </w:p>
          <w:p w:rsidR="00000000" w:rsidRPr="003139CC" w:rsidP="003139CC">
            <w:pPr>
              <w:pStyle w:val="ListBullet2"/>
            </w:pPr>
            <w:r w:rsidRPr="003139CC">
              <w:t>princip</w:t>
            </w:r>
            <w:r w:rsidRPr="003139CC">
              <w:t>les and practices of automated control of individual machines</w:t>
            </w:r>
          </w:p>
          <w:p w:rsidR="00000000" w:rsidRPr="003139CC" w:rsidP="003139CC">
            <w:pPr>
              <w:pStyle w:val="ListBullet2"/>
            </w:pPr>
            <w:r w:rsidRPr="003139CC">
              <w:t>stations and transmission/tie-line elements</w:t>
            </w:r>
          </w:p>
          <w:p w:rsidR="00000000" w:rsidRPr="003139CC" w:rsidP="003139CC">
            <w:pPr>
              <w:pStyle w:val="ListBullet2"/>
            </w:pPr>
            <w:r w:rsidRPr="003139CC">
              <w:t>synchronising power</w:t>
            </w:r>
          </w:p>
          <w:p w:rsidR="00000000" w:rsidRPr="003139CC" w:rsidP="003139CC">
            <w:pPr>
              <w:pStyle w:val="ListBullet"/>
            </w:pPr>
            <w:r w:rsidRPr="003139CC">
              <w:t>the relationship between power and frequency encompassing:</w:t>
            </w:r>
          </w:p>
          <w:p w:rsidR="00000000" w:rsidRPr="003139CC" w:rsidP="003139CC">
            <w:pPr>
              <w:pStyle w:val="ListBullet2"/>
            </w:pPr>
            <w:r w:rsidRPr="003139CC">
              <w:t>limiting values</w:t>
            </w:r>
          </w:p>
          <w:p w:rsidR="00000000" w:rsidRPr="003139CC" w:rsidP="003139CC">
            <w:pPr>
              <w:pStyle w:val="ListBullet2"/>
            </w:pPr>
            <w:r w:rsidRPr="003139CC">
              <w:t>machine stabilising - steam by-pass, rapid valving, s</w:t>
            </w:r>
            <w:r w:rsidRPr="003139CC">
              <w:t>lip stabilisers and over speed limiting</w:t>
            </w:r>
          </w:p>
          <w:p w:rsidR="00000000" w:rsidRPr="003139CC" w:rsidP="003139CC">
            <w:pPr>
              <w:pStyle w:val="ListBullet2"/>
            </w:pPr>
            <w:r w:rsidRPr="003139CC">
              <w:t>use of single pole generator CB</w:t>
            </w:r>
            <w:r>
              <w:t>’</w:t>
            </w:r>
            <w:r w:rsidRPr="003139CC">
              <w:t>s</w:t>
            </w:r>
          </w:p>
          <w:p w:rsidR="00000000" w:rsidRPr="003139CC" w:rsidP="003139CC">
            <w:pPr>
              <w:pStyle w:val="ListBullet2"/>
            </w:pPr>
            <w:r w:rsidRPr="003139CC">
              <w:t>use of machine AVR</w:t>
            </w:r>
            <w:r>
              <w:t>’</w:t>
            </w:r>
            <w:r w:rsidRPr="003139CC">
              <w:t>s as angular stabilisers</w:t>
            </w:r>
          </w:p>
          <w:p w:rsidR="00000000" w:rsidRPr="003139CC" w:rsidP="003139CC">
            <w:pPr>
              <w:pStyle w:val="ListBullet2"/>
            </w:pPr>
            <w:r w:rsidRPr="003139CC">
              <w:t>damped and un-damped system oscillations</w:t>
            </w:r>
          </w:p>
          <w:p w:rsidR="00000000" w:rsidRPr="003139CC" w:rsidP="003139CC">
            <w:pPr>
              <w:pStyle w:val="ListBullet2"/>
            </w:pPr>
            <w:r w:rsidRPr="003139CC">
              <w:t>relationship between fault clearance times and system stability</w:t>
            </w:r>
          </w:p>
          <w:p w:rsidR="00000000" w:rsidRPr="003139CC" w:rsidP="003139CC">
            <w:pPr>
              <w:pStyle w:val="ListBullet2"/>
            </w:pPr>
            <w:r w:rsidRPr="003139CC">
              <w:t>calculation of critical clearance angles based on equal area criteria</w:t>
            </w:r>
          </w:p>
          <w:p w:rsidR="00000000" w:rsidRPr="003139CC" w:rsidP="003139CC">
            <w:pPr>
              <w:pStyle w:val="ListBullet"/>
            </w:pPr>
            <w:r w:rsidRPr="003139CC">
              <w:t>types of communication systems encompassing:</w:t>
            </w:r>
          </w:p>
          <w:p w:rsidR="00000000" w:rsidRPr="003139CC" w:rsidP="003139CC">
            <w:pPr>
              <w:pStyle w:val="ListBullet2"/>
            </w:pPr>
            <w:r w:rsidRPr="003139CC">
              <w:t>telephone, power line carrier, dedicated cable, microwave links and fibre optics</w:t>
            </w:r>
          </w:p>
          <w:p w:rsidR="00000000" w:rsidRPr="003139CC" w:rsidP="003139CC">
            <w:pPr>
              <w:pStyle w:val="ListBullet2"/>
            </w:pPr>
            <w:r w:rsidRPr="003139CC">
              <w:t>quantities and signals to be communicated</w:t>
            </w:r>
          </w:p>
          <w:p w:rsidR="00000000" w:rsidRPr="003139CC" w:rsidP="003139CC">
            <w:pPr>
              <w:pStyle w:val="ListBullet2"/>
            </w:pPr>
            <w:r w:rsidRPr="003139CC">
              <w:t>advantages and d</w:t>
            </w:r>
            <w:r w:rsidRPr="003139CC">
              <w:t>isadvantages of the various systems</w:t>
            </w:r>
          </w:p>
          <w:p w:rsidR="00000000" w:rsidRPr="003139CC" w:rsidP="003139CC">
            <w:pPr>
              <w:pStyle w:val="ListBullet2"/>
            </w:pPr>
            <w:r w:rsidRPr="003139CC">
              <w:t>equipment requirements</w:t>
            </w:r>
          </w:p>
          <w:p w:rsidR="00000000" w:rsidRPr="003139CC" w:rsidP="003139CC">
            <w:pPr>
              <w:pStyle w:val="ListBullet"/>
            </w:pPr>
            <w:r w:rsidRPr="003139CC">
              <w:t>transient over-voltages in power systems encompassing:</w:t>
            </w:r>
          </w:p>
          <w:p w:rsidR="00000000" w:rsidRPr="003139CC" w:rsidP="003139CC">
            <w:pPr>
              <w:pStyle w:val="ListBullet2"/>
            </w:pPr>
            <w:r w:rsidRPr="003139CC">
              <w:t>switching and lightning over-voltages and their effect on different plant items</w:t>
            </w:r>
          </w:p>
          <w:p w:rsidR="00000000" w:rsidRPr="003139CC" w:rsidP="003139CC">
            <w:pPr>
              <w:pStyle w:val="ListBullet2"/>
            </w:pPr>
            <w:r w:rsidRPr="003139CC">
              <w:t>transient over-voltage control and reduction using surge div</w:t>
            </w:r>
            <w:r w:rsidRPr="003139CC">
              <w:t>erters, shield wires and CB control</w:t>
            </w:r>
          </w:p>
          <w:p w:rsidR="00000000" w:rsidRPr="003139CC" w:rsidP="003139CC">
            <w:pPr>
              <w:pStyle w:val="ListBullet2"/>
            </w:pPr>
            <w:r w:rsidRPr="003139CC">
              <w:t>insulation systems, insulation coordination, insulation grading in plant items, bushings and capacitor bushings</w:t>
            </w:r>
          </w:p>
          <w:p w:rsidR="00000000" w:rsidRPr="003139CC" w:rsidP="003139CC">
            <w:pPr>
              <w:pStyle w:val="ListBullet"/>
            </w:pPr>
            <w:r w:rsidRPr="003139CC">
              <w:t>factors leading to the generation of corona encompassing:</w:t>
            </w:r>
          </w:p>
          <w:p w:rsidR="00000000" w:rsidRPr="003139CC" w:rsidP="003139CC">
            <w:pPr>
              <w:pStyle w:val="ListBullet2"/>
            </w:pPr>
            <w:r w:rsidRPr="003139CC">
              <w:t>consequences of corona</w:t>
            </w:r>
          </w:p>
          <w:p w:rsidR="00000000" w:rsidRPr="003139CC" w:rsidP="003139CC">
            <w:pPr>
              <w:pStyle w:val="ListBullet2"/>
            </w:pPr>
            <w:r w:rsidRPr="003139CC">
              <w:t>reduction of corona</w:t>
            </w:r>
          </w:p>
          <w:p w:rsidR="00000000" w:rsidRPr="003139CC" w:rsidP="003139CC">
            <w:pPr>
              <w:pStyle w:val="ListBullet2"/>
            </w:pPr>
            <w:r w:rsidRPr="003139CC">
              <w:t>conductor bundling, grading rings and conductor surface treatment</w:t>
            </w:r>
          </w:p>
          <w:p w:rsidR="00000000" w:rsidRPr="003139CC" w:rsidP="003139CC">
            <w:pPr>
              <w:pStyle w:val="ListBullet"/>
            </w:pPr>
            <w:r w:rsidRPr="003139CC">
              <w:t>power system protection encompassing:</w:t>
            </w:r>
          </w:p>
          <w:p w:rsidR="00000000" w:rsidRPr="003139CC" w:rsidP="003139CC">
            <w:pPr>
              <w:pStyle w:val="ListBullet2"/>
            </w:pPr>
            <w:r w:rsidRPr="003139CC">
              <w:t>location of CT</w:t>
            </w:r>
            <w:r>
              <w:t>’</w:t>
            </w:r>
            <w:r w:rsidRPr="003139CC">
              <w:t>s in major plant items</w:t>
            </w:r>
          </w:p>
          <w:p w:rsidR="00000000" w:rsidRPr="003139CC" w:rsidP="003139CC">
            <w:pPr>
              <w:pStyle w:val="ListBullet2"/>
            </w:pPr>
            <w:r w:rsidRPr="003139CC">
              <w:t>earthing principles and devices</w:t>
            </w:r>
          </w:p>
          <w:p w:rsidR="00000000" w:rsidRPr="003139CC" w:rsidP="003139CC">
            <w:pPr>
              <w:pStyle w:val="ListBullet2"/>
            </w:pPr>
            <w:r w:rsidRPr="003139CC">
              <w:t>fault current control/limitation using neutral earthing compensators (NEC</w:t>
            </w:r>
            <w:r>
              <w:t>’</w:t>
            </w:r>
            <w:r w:rsidRPr="003139CC">
              <w:t>s), ne</w:t>
            </w:r>
            <w:r w:rsidRPr="003139CC">
              <w:t>utral point earth impedances, high conductivity shield wires and parallel feed interlocking</w:t>
            </w:r>
          </w:p>
          <w:p w:rsidR="00000000" w:rsidRPr="003139CC" w:rsidP="003139CC">
            <w:pPr>
              <w:pStyle w:val="ListBullet2"/>
            </w:pPr>
            <w:r w:rsidRPr="003139CC">
              <w:t>application of different types of protection.</w:t>
            </w:r>
          </w:p>
        </w:tc>
      </w:tr>
    </w:tbl>
    <w:p w:rsidR="00000000" w:rsidRPr="003139CC" w:rsidP="003139CC">
      <w:pPr>
        <w:pStyle w:val="NoPaddingFontSize1"/>
      </w:pPr>
    </w:p>
    <w:p w:rsidR="00000000" w:rsidRPr="003139CC" w:rsidP="003139CC">
      <w:pPr>
        <w:pStyle w:val="AllowPageBreak"/>
      </w:pPr>
    </w:p>
    <w:p w:rsidR="00000000" w:rsidRPr="003139CC" w:rsidP="003139CC">
      <w:pPr>
        <w:pStyle w:val="Heading1"/>
      </w:pPr>
      <w:bookmarkStart w:id="14" w:name="O_1003719"/>
      <w:bookmarkEnd w:id="14"/>
      <w:r w:rsidRPr="003139CC">
        <w:t>Assessment Conditions</w:t>
      </w:r>
    </w:p>
    <w:tbl>
      <w:tblPr>
        <w:tblW w:w="9497" w:type="dxa"/>
        <w:tblLayout w:type="fixed"/>
        <w:tblCellMar>
          <w:left w:w="62" w:type="dxa"/>
          <w:right w:w="62" w:type="dxa"/>
        </w:tblCellMar>
        <w:tblLook w:val="0000"/>
      </w:tblPr>
      <w:tblGrid>
        <w:gridCol w:w="9497"/>
      </w:tblGrid>
      <w:tr w:rsidTr="003139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39CC" w:rsidP="003139CC">
            <w:pPr>
              <w:pStyle w:val="BodyText"/>
            </w:pPr>
            <w:r w:rsidRPr="003139CC">
              <w:t>Asses</w:t>
            </w:r>
            <w:r w:rsidRPr="003139CC">
              <w:t>sors must hold credentials specified within the Standards for Registered Training Organisations current at the time of assessment.</w:t>
            </w:r>
          </w:p>
          <w:p w:rsidR="00000000" w:rsidRPr="003139CC" w:rsidP="003139CC">
            <w:pPr>
              <w:pStyle w:val="BodyText"/>
            </w:pPr>
            <w:r w:rsidRPr="003139CC">
              <w:t>Assessment must satisfy the Principles of Assessment and Rules of Evidence and all regulatory requirements included within th</w:t>
            </w:r>
            <w:r w:rsidRPr="003139CC">
              <w:t>e Standards for Registered Training Organisations current at the time of assessment.</w:t>
            </w:r>
          </w:p>
          <w:p w:rsidR="00000000" w:rsidRPr="003139CC" w:rsidP="003139CC">
            <w:pPr>
              <w:pStyle w:val="BodyText"/>
            </w:pPr>
            <w:r w:rsidRPr="003139CC">
              <w:t>Assessment must occur in workplace operational situations where it is appropriate to do so; where this is not appropriate, assessment must occur in simulated conditions in</w:t>
            </w:r>
            <w:r w:rsidRPr="003139CC">
              <w:t>volving realistic and authentic activities that replicate operational workplace conditions.</w:t>
            </w:r>
          </w:p>
          <w:p w:rsidR="00000000" w:rsidRPr="003139CC" w:rsidP="003139CC">
            <w:pPr>
              <w:pStyle w:val="BodyText"/>
            </w:pPr>
            <w:r w:rsidRPr="003139CC">
              <w:t>Assessment processes and techniques must be appropriate to the language, literacy and numeracy requirements of the work being performed and the needs of the candida</w:t>
            </w:r>
            <w:r w:rsidRPr="003139CC">
              <w:t>te.</w:t>
            </w:r>
          </w:p>
          <w:p w:rsidR="00000000" w:rsidRPr="003139CC" w:rsidP="003139CC">
            <w:pPr>
              <w:pStyle w:val="BodyText"/>
            </w:pPr>
            <w:r w:rsidRPr="003139CC">
              <w:t>Resources for assessment must include access to:</w:t>
            </w:r>
          </w:p>
          <w:p w:rsidR="00000000" w:rsidRPr="003139CC" w:rsidP="003139CC">
            <w:pPr>
              <w:pStyle w:val="ListBullet"/>
            </w:pPr>
            <w:r w:rsidRPr="003139CC">
              <w:t>a range of relevant exercises, case studies and/or other simulations</w:t>
            </w:r>
          </w:p>
          <w:p w:rsidR="00000000" w:rsidRPr="003139CC" w:rsidP="003139CC">
            <w:pPr>
              <w:pStyle w:val="ListBullet"/>
            </w:pPr>
            <w:r w:rsidRPr="003139CC">
              <w:t>relevant and appropriate materials, tools, facilities, equipment and personal protective equipment (PPE) currently used in industry</w:t>
            </w:r>
          </w:p>
          <w:p w:rsidR="00000000" w:rsidRPr="003139CC" w:rsidP="003139CC">
            <w:pPr>
              <w:pStyle w:val="ListBullet"/>
            </w:pPr>
            <w:r w:rsidRPr="003139CC">
              <w:t>a</w:t>
            </w:r>
            <w:r w:rsidRPr="003139CC">
              <w:t>pplicable documentation, including workplace procedures, relevant industry standards, equipment specifications, regulations, codes of practice and operation manuals.</w:t>
            </w:r>
          </w:p>
        </w:tc>
      </w:tr>
    </w:tbl>
    <w:p w:rsidR="00000000" w:rsidRPr="003139CC" w:rsidP="003139CC">
      <w:pPr>
        <w:pStyle w:val="NoPaddingFontSize1"/>
      </w:pPr>
    </w:p>
    <w:p w:rsidR="00000000" w:rsidRPr="003139CC" w:rsidP="003139CC">
      <w:pPr>
        <w:pStyle w:val="AllowPageBreak"/>
      </w:pPr>
    </w:p>
    <w:p w:rsidR="00000000" w:rsidRPr="003139CC" w:rsidP="003139CC">
      <w:pPr>
        <w:pStyle w:val="Heading1"/>
      </w:pPr>
      <w:bookmarkStart w:id="15" w:name="O_1003722"/>
      <w:bookmarkEnd w:id="15"/>
      <w:r w:rsidRPr="003139CC">
        <w:t>Links</w:t>
      </w:r>
    </w:p>
    <w:p w:rsidR="00000000" w:rsidRPr="003139CC" w:rsidP="002F464F">
      <w:pPr>
        <w:pStyle w:val="BodyText"/>
      </w:pPr>
      <w:r w:rsidRPr="003139CC">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996627">
        <w:rPr>
          <w:rStyle w:val="Hyperlink"/>
        </w:rPr>
        <w:t>https://vetnet.gov.au/Pages/TrainingDocs.aspx?q=229bace1-b7bc-4653-9300-dffb13ecfad7</w:t>
      </w:r>
      <w:r>
        <w:fldChar w:fldCharType="end"/>
      </w:r>
    </w:p>
    <w:p w:rsidR="00000000" w:rsidRPr="003139CC" w:rsidP="003139CC"/>
    <w:sectPr w:rsidSect="003139C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9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9CC" w:rsidRPr="002F464F" w:rsidP="002F46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9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64F" w:rsidP="003139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F464F" w:rsidP="003139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F464F" w:rsidP="003139C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9CC" w:rsidP="003139CC">
    <w:pPr>
      <w:pStyle w:val="Footer"/>
      <w:framePr w:wrap="around"/>
    </w:pPr>
    <w:r>
      <w:fldChar w:fldCharType="begin"/>
    </w:r>
    <w:r>
      <w:instrText xml:space="preserve"> DOCPROPERTY  Subject  \* MERGEFORMAT </w:instrText>
    </w:r>
    <w:r>
      <w:fldChar w:fldCharType="separate"/>
    </w:r>
    <w:r w:rsidR="002F464F">
      <w:t>Approved</w:t>
    </w:r>
    <w:r w:rsidR="002F464F">
      <w:fldChar w:fldCharType="end"/>
    </w:r>
    <w:r>
      <w:tab/>
      <w:t xml:space="preserve">Page </w:t>
    </w:r>
    <w:r>
      <w:fldChar w:fldCharType="begin"/>
    </w:r>
    <w:r>
      <w:instrText xml:space="preserve"> PAGE  \* Arabic  \* MERGEFORMAT </w:instrText>
    </w:r>
    <w:r>
      <w:fldChar w:fldCharType="separate"/>
    </w:r>
    <w:r w:rsidR="002F464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464F">
      <w:rPr>
        <w:noProof/>
      </w:rPr>
      <w:t>6</w:t>
    </w:r>
    <w:r>
      <w:rPr>
        <w:noProof/>
      </w:rPr>
      <w:fldChar w:fldCharType="end"/>
    </w:r>
  </w:p>
  <w:p w:rsidR="003139CC" w:rsidP="003139CC">
    <w:pPr>
      <w:pStyle w:val="Footer"/>
      <w:framePr w:wrap="around"/>
    </w:pPr>
    <w:r>
      <w:t xml:space="preserve">© Commonwealth of Australia, </w:t>
    </w:r>
    <w:r>
      <w:fldChar w:fldCharType="begin"/>
    </w:r>
    <w:r>
      <w:instrText xml:space="preserve"> DATE  \@ "yyyy"  \* MERGEFORMAT </w:instrText>
    </w:r>
    <w:r>
      <w:fldChar w:fldCharType="separate"/>
    </w:r>
    <w:r w:rsidR="002F464F">
      <w:rPr>
        <w:noProof/>
      </w:rPr>
      <w:t>2025</w:t>
    </w:r>
    <w:r>
      <w:fldChar w:fldCharType="end"/>
    </w:r>
    <w:r>
      <w:tab/>
    </w:r>
    <w:r>
      <w:fldChar w:fldCharType="begin"/>
    </w:r>
    <w:r>
      <w:instrText xml:space="preserve"> DOCPROPERTY  Author  \* MERGEFORMAT </w:instrText>
    </w:r>
    <w:r>
      <w:fldChar w:fldCharType="separate"/>
    </w:r>
    <w:r w:rsidR="002F464F">
      <w:t>Powering Skills Organisation</w:t>
    </w:r>
    <w:r w:rsidR="002F464F">
      <w:fldChar w:fldCharType="end"/>
    </w:r>
  </w:p>
  <w:p w:rsidR="003139CC" w:rsidP="003139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9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6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39CC" w:rsidRPr="002F464F" w:rsidP="002F46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9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64F" w:rsidRPr="002D2AF8" w:rsidP="003139CC">
    <w:pPr>
      <w:pStyle w:val="Header"/>
      <w:framePr w:wrap="around"/>
    </w:pPr>
    <w:r>
      <w:fldChar w:fldCharType="begin"/>
    </w:r>
    <w:r>
      <w:instrText xml:space="preserve"> TITLE   \* MERGEFORMAT </w:instrText>
    </w:r>
    <w:r>
      <w:fldChar w:fldCharType="separate"/>
    </w:r>
    <w:r>
      <w:t>UETTDRIS69 Diagnose and rectify faults in energy supply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464F" w:rsidP="003139C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9CC" w:rsidRPr="002D2AF8" w:rsidP="003139CC">
    <w:pPr>
      <w:pStyle w:val="Header"/>
      <w:framePr w:wrap="around"/>
    </w:pPr>
    <w:r>
      <w:fldChar w:fldCharType="begin"/>
    </w:r>
    <w:r>
      <w:instrText xml:space="preserve"> TITLE   \* MERGEFORMAT </w:instrText>
    </w:r>
    <w:r>
      <w:fldChar w:fldCharType="separate"/>
    </w:r>
    <w:r w:rsidR="002F464F">
      <w:t>UETTDRIS69 Diagnose and rectify faults in energy supply apparatus</w:t>
    </w:r>
    <w:r w:rsidR="002F464F">
      <w:fldChar w:fldCharType="end"/>
    </w:r>
    <w:r>
      <w:tab/>
      <w:t xml:space="preserve">Date this document was generated: </w:t>
    </w:r>
    <w:r>
      <w:fldChar w:fldCharType="begin"/>
    </w:r>
    <w:r>
      <w:instrText xml:space="preserve"> CREATEDATE  \@ "d MMMM yyyy"  \* MERGEFORMAT </w:instrText>
    </w:r>
    <w:r>
      <w:fldChar w:fldCharType="separate"/>
    </w:r>
    <w:r w:rsidR="002F464F">
      <w:rPr>
        <w:noProof/>
      </w:rPr>
      <w:t>2 March 2025</w:t>
    </w:r>
    <w:r>
      <w:fldChar w:fldCharType="end"/>
    </w:r>
  </w:p>
  <w:p w:rsidR="003139CC" w:rsidP="003139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9E19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64B2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76E1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9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39CC"/>
    <w:pPr>
      <w:spacing w:before="360" w:after="60"/>
      <w:outlineLvl w:val="0"/>
    </w:pPr>
    <w:rPr>
      <w:sz w:val="32"/>
    </w:rPr>
  </w:style>
  <w:style w:type="paragraph" w:styleId="Heading2">
    <w:name w:val="heading 2"/>
    <w:basedOn w:val="HeadingBase"/>
    <w:next w:val="BodyText"/>
    <w:link w:val="Heading2Char"/>
    <w:qFormat/>
    <w:rsid w:val="003139CC"/>
    <w:pPr>
      <w:keepLines/>
      <w:spacing w:before="240" w:after="120"/>
      <w:outlineLvl w:val="1"/>
    </w:pPr>
    <w:rPr>
      <w:sz w:val="28"/>
      <w:szCs w:val="40"/>
    </w:rPr>
  </w:style>
  <w:style w:type="paragraph" w:styleId="Heading3">
    <w:name w:val="heading 3"/>
    <w:basedOn w:val="HeadingBase"/>
    <w:next w:val="BodyText"/>
    <w:link w:val="Heading3Char"/>
    <w:qFormat/>
    <w:rsid w:val="003139CC"/>
    <w:pPr>
      <w:spacing w:before="180" w:after="120"/>
      <w:outlineLvl w:val="2"/>
    </w:pPr>
    <w:rPr>
      <w:spacing w:val="-10"/>
      <w:kern w:val="32"/>
    </w:rPr>
  </w:style>
  <w:style w:type="paragraph" w:styleId="Heading4">
    <w:name w:val="heading 4"/>
    <w:basedOn w:val="HeadingBase"/>
    <w:next w:val="BodyText"/>
    <w:link w:val="Heading4Char"/>
    <w:qFormat/>
    <w:rsid w:val="003139CC"/>
    <w:pPr>
      <w:spacing w:before="160" w:after="120"/>
      <w:outlineLvl w:val="3"/>
    </w:pPr>
    <w:rPr>
      <w:sz w:val="22"/>
    </w:rPr>
  </w:style>
  <w:style w:type="paragraph" w:styleId="Heading5">
    <w:name w:val="heading 5"/>
    <w:basedOn w:val="HeadingBase"/>
    <w:next w:val="Normal"/>
    <w:link w:val="Heading5Char"/>
    <w:qFormat/>
    <w:rsid w:val="003139CC"/>
    <w:pPr>
      <w:spacing w:before="80"/>
      <w:outlineLvl w:val="4"/>
    </w:pPr>
    <w:rPr>
      <w:color w:val="918585"/>
      <w:sz w:val="20"/>
    </w:rPr>
  </w:style>
  <w:style w:type="paragraph" w:styleId="Heading6">
    <w:name w:val="heading 6"/>
    <w:basedOn w:val="HeadingBase"/>
    <w:next w:val="Normal"/>
    <w:link w:val="Heading6Char"/>
    <w:qFormat/>
    <w:rsid w:val="003139CC"/>
    <w:pPr>
      <w:spacing w:before="60"/>
      <w:outlineLvl w:val="5"/>
    </w:pPr>
    <w:rPr>
      <w:color w:val="918585"/>
      <w:sz w:val="20"/>
    </w:rPr>
  </w:style>
  <w:style w:type="paragraph" w:styleId="Heading7">
    <w:name w:val="heading 7"/>
    <w:basedOn w:val="Normal"/>
    <w:next w:val="Normal"/>
    <w:link w:val="Heading7Char"/>
    <w:qFormat/>
    <w:rsid w:val="003139CC"/>
    <w:pPr>
      <w:ind w:left="720"/>
      <w:outlineLvl w:val="6"/>
    </w:pPr>
    <w:rPr>
      <w:i/>
    </w:rPr>
  </w:style>
  <w:style w:type="paragraph" w:styleId="Heading8">
    <w:name w:val="heading 8"/>
    <w:basedOn w:val="Normal"/>
    <w:next w:val="Normal"/>
    <w:link w:val="Heading8Char"/>
    <w:qFormat/>
    <w:rsid w:val="003139CC"/>
    <w:pPr>
      <w:ind w:left="720"/>
      <w:outlineLvl w:val="7"/>
    </w:pPr>
    <w:rPr>
      <w:i/>
    </w:rPr>
  </w:style>
  <w:style w:type="paragraph" w:styleId="Heading9">
    <w:name w:val="heading 9"/>
    <w:basedOn w:val="Normal"/>
    <w:next w:val="Normal"/>
    <w:link w:val="Heading9Char"/>
    <w:qFormat/>
    <w:rsid w:val="003139CC"/>
    <w:pPr>
      <w:ind w:left="720"/>
      <w:outlineLvl w:val="8"/>
    </w:pPr>
    <w:rPr>
      <w:i/>
    </w:rPr>
  </w:style>
  <w:style w:type="character" w:default="1" w:styleId="DefaultParagraphFont">
    <w:name w:val="Default Paragraph Font"/>
    <w:uiPriority w:val="1"/>
    <w:unhideWhenUsed/>
    <w:rsid w:val="003139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39CC"/>
  </w:style>
  <w:style w:type="character" w:customStyle="1" w:styleId="Heading1Char">
    <w:name w:val="Heading 1 Char"/>
    <w:basedOn w:val="DefaultParagraphFont"/>
    <w:link w:val="Heading1"/>
    <w:rsid w:val="003139CC"/>
    <w:rPr>
      <w:rFonts w:ascii="Times New Roman" w:eastAsia="Times New Roman" w:hAnsi="Times New Roman" w:cs="Times New Roman"/>
      <w:b/>
      <w:sz w:val="32"/>
      <w:szCs w:val="20"/>
      <w:lang w:eastAsia="en-US"/>
    </w:rPr>
  </w:style>
  <w:style w:type="paragraph" w:styleId="BodyText">
    <w:name w:val="Body Text"/>
    <w:basedOn w:val="Normal"/>
    <w:link w:val="BodyTextChar"/>
    <w:rsid w:val="003139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39CC"/>
    <w:rPr>
      <w:rFonts w:ascii="Times New Roman" w:eastAsia="Times New Roman" w:hAnsi="Times New Roman" w:cs="Times New Roman"/>
      <w:sz w:val="24"/>
      <w:lang w:eastAsia="en-US"/>
    </w:rPr>
  </w:style>
  <w:style w:type="paragraph" w:styleId="ListBullet">
    <w:name w:val="List Bullet"/>
    <w:basedOn w:val="List"/>
    <w:rsid w:val="003139CC"/>
    <w:pPr>
      <w:numPr>
        <w:numId w:val="12"/>
      </w:numPr>
      <w:tabs>
        <w:tab w:val="clear" w:pos="340"/>
      </w:tabs>
      <w:spacing w:before="40" w:after="40"/>
    </w:pPr>
  </w:style>
  <w:style w:type="character" w:customStyle="1" w:styleId="SpecialBold">
    <w:name w:val="Special Bold"/>
    <w:basedOn w:val="DefaultParagraphFont"/>
    <w:rsid w:val="003139CC"/>
    <w:rPr>
      <w:b/>
      <w:spacing w:val="0"/>
    </w:rPr>
  </w:style>
  <w:style w:type="paragraph" w:styleId="ListBullet2">
    <w:name w:val="List Bullet 2"/>
    <w:basedOn w:val="List2"/>
    <w:rsid w:val="003139CC"/>
    <w:pPr>
      <w:numPr>
        <w:numId w:val="13"/>
      </w:numPr>
      <w:tabs>
        <w:tab w:val="clear" w:pos="680"/>
      </w:tabs>
    </w:pPr>
  </w:style>
  <w:style w:type="paragraph" w:customStyle="1" w:styleId="SuperHeading">
    <w:name w:val="SuperHeading"/>
    <w:basedOn w:val="Normal"/>
    <w:rsid w:val="003139CC"/>
    <w:pPr>
      <w:spacing w:before="240" w:after="120"/>
      <w:outlineLvl w:val="0"/>
    </w:pPr>
    <w:rPr>
      <w:rFonts w:ascii="Times New Roman" w:hAnsi="Times New Roman"/>
      <w:b/>
      <w:sz w:val="32"/>
    </w:rPr>
  </w:style>
  <w:style w:type="paragraph" w:customStyle="1" w:styleId="AllowPageBreak">
    <w:name w:val="AllowPageBreak"/>
    <w:rsid w:val="003139C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139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39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39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39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39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39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39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39CC"/>
    <w:rPr>
      <w:rFonts w:ascii="Courier New" w:eastAsia="Times New Roman" w:hAnsi="Courier New" w:cs="Times New Roman"/>
      <w:i/>
      <w:szCs w:val="20"/>
      <w:lang w:eastAsia="en-US"/>
    </w:rPr>
  </w:style>
  <w:style w:type="paragraph" w:customStyle="1" w:styleId="HeadingBase">
    <w:name w:val="Heading Base"/>
    <w:rsid w:val="003139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39CC"/>
    <w:pPr>
      <w:tabs>
        <w:tab w:val="right" w:leader="dot" w:pos="9072"/>
      </w:tabs>
      <w:ind w:left="567"/>
    </w:pPr>
    <w:rPr>
      <w:szCs w:val="22"/>
    </w:rPr>
  </w:style>
  <w:style w:type="paragraph" w:customStyle="1" w:styleId="TOCBase">
    <w:name w:val="TOC Base"/>
    <w:rsid w:val="003139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39CC"/>
    <w:pPr>
      <w:tabs>
        <w:tab w:val="right" w:leader="dot" w:pos="9072"/>
      </w:tabs>
      <w:spacing w:before="40" w:after="40"/>
      <w:ind w:left="284"/>
    </w:pPr>
    <w:rPr>
      <w:rFonts w:ascii="Times New Roman" w:hAnsi="Times New Roman"/>
    </w:rPr>
  </w:style>
  <w:style w:type="paragraph" w:styleId="TOC1">
    <w:name w:val="toc 1"/>
    <w:basedOn w:val="TOCBase"/>
    <w:next w:val="Normal"/>
    <w:rsid w:val="003139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39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39CC"/>
    <w:rPr>
      <w:rFonts w:ascii="Times New Roman" w:eastAsia="Times New Roman" w:hAnsi="Times New Roman" w:cs="Times New Roman"/>
      <w:sz w:val="16"/>
      <w:lang w:eastAsia="en-US"/>
    </w:rPr>
  </w:style>
  <w:style w:type="paragraph" w:styleId="Title">
    <w:name w:val="Title"/>
    <w:basedOn w:val="HeadingBase"/>
    <w:link w:val="TitleChar"/>
    <w:qFormat/>
    <w:rsid w:val="003139CC"/>
    <w:pPr>
      <w:spacing w:before="5040"/>
      <w:jc w:val="center"/>
    </w:pPr>
    <w:rPr>
      <w:sz w:val="48"/>
      <w:szCs w:val="72"/>
      <w:lang w:val="en-US"/>
    </w:rPr>
  </w:style>
  <w:style w:type="character" w:customStyle="1" w:styleId="TitleChar">
    <w:name w:val="Title Char"/>
    <w:basedOn w:val="DefaultParagraphFont"/>
    <w:link w:val="Title"/>
    <w:rsid w:val="003139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39CC"/>
    <w:pPr>
      <w:tabs>
        <w:tab w:val="left" w:pos="3600"/>
        <w:tab w:val="left" w:pos="3958"/>
      </w:tabs>
    </w:pPr>
  </w:style>
  <w:style w:type="paragraph" w:styleId="List">
    <w:name w:val="List"/>
    <w:basedOn w:val="BodyText"/>
    <w:next w:val="BodyText"/>
    <w:rsid w:val="003139CC"/>
    <w:pPr>
      <w:tabs>
        <w:tab w:val="left" w:pos="340"/>
      </w:tabs>
      <w:spacing w:before="60" w:after="60"/>
      <w:ind w:left="340" w:hanging="340"/>
    </w:pPr>
  </w:style>
  <w:style w:type="paragraph" w:customStyle="1" w:styleId="Note">
    <w:name w:val="Note"/>
    <w:basedOn w:val="BodyText"/>
    <w:rsid w:val="003139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39CC"/>
    <w:pPr>
      <w:framePr w:wrap="auto" w:hAnchor="text" w:y="6049"/>
    </w:pPr>
    <w:rPr>
      <w:color w:val="000000"/>
      <w:sz w:val="40"/>
    </w:rPr>
  </w:style>
  <w:style w:type="paragraph" w:customStyle="1" w:styleId="TOCTitle">
    <w:name w:val="TOCTitle"/>
    <w:basedOn w:val="Heading1"/>
    <w:rsid w:val="003139CC"/>
    <w:pPr>
      <w:spacing w:after="240"/>
      <w:jc w:val="center"/>
      <w:outlineLvl w:val="9"/>
    </w:pPr>
    <w:rPr>
      <w:caps/>
    </w:rPr>
  </w:style>
  <w:style w:type="paragraph" w:customStyle="1" w:styleId="Version">
    <w:name w:val="Version"/>
    <w:rsid w:val="003139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39CC"/>
    <w:pPr>
      <w:keepNext w:val="0"/>
      <w:tabs>
        <w:tab w:val="right" w:pos="4176"/>
      </w:tabs>
      <w:ind w:left="198" w:hanging="198"/>
    </w:pPr>
    <w:rPr>
      <w:rFonts w:ascii="Garamond" w:hAnsi="Garamond"/>
    </w:rPr>
  </w:style>
  <w:style w:type="paragraph" w:styleId="IndexHeading">
    <w:name w:val="index heading"/>
    <w:basedOn w:val="Normal"/>
    <w:next w:val="Index1"/>
    <w:semiHidden/>
    <w:rsid w:val="003139CC"/>
    <w:pPr>
      <w:spacing w:before="120" w:after="120"/>
    </w:pPr>
    <w:rPr>
      <w:rFonts w:ascii="Arial" w:hAnsi="Arial"/>
      <w:b/>
      <w:color w:val="918585"/>
      <w:sz w:val="24"/>
    </w:rPr>
  </w:style>
  <w:style w:type="paragraph" w:styleId="Header">
    <w:name w:val="header"/>
    <w:basedOn w:val="Normal"/>
    <w:link w:val="HeaderChar"/>
    <w:rsid w:val="003139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39CC"/>
    <w:rPr>
      <w:rFonts w:ascii="Times New Roman" w:eastAsia="Times New Roman" w:hAnsi="Times New Roman" w:cs="Times New Roman"/>
      <w:sz w:val="16"/>
      <w:szCs w:val="20"/>
      <w:lang w:val="en-GB" w:eastAsia="en-US"/>
    </w:rPr>
  </w:style>
  <w:style w:type="paragraph" w:customStyle="1" w:styleId="Chapter">
    <w:name w:val="Chapter"/>
    <w:basedOn w:val="Normal"/>
    <w:rsid w:val="003139CC"/>
    <w:pPr>
      <w:spacing w:before="240"/>
    </w:pPr>
    <w:rPr>
      <w:rFonts w:ascii="Times New Roman" w:hAnsi="Times New Roman"/>
      <w:smallCaps/>
      <w:spacing w:val="80"/>
      <w:sz w:val="28"/>
    </w:rPr>
  </w:style>
  <w:style w:type="paragraph" w:customStyle="1" w:styleId="InChapter">
    <w:name w:val="InChapter"/>
    <w:basedOn w:val="Heading3"/>
    <w:rsid w:val="003139CC"/>
    <w:pPr>
      <w:spacing w:after="240"/>
      <w:outlineLvl w:val="9"/>
    </w:pPr>
    <w:rPr>
      <w:noProof/>
    </w:rPr>
  </w:style>
  <w:style w:type="paragraph" w:styleId="Index2">
    <w:name w:val="index 2"/>
    <w:basedOn w:val="Normal"/>
    <w:next w:val="Normal"/>
    <w:semiHidden/>
    <w:rsid w:val="003139CC"/>
    <w:pPr>
      <w:tabs>
        <w:tab w:val="right" w:pos="4176"/>
      </w:tabs>
      <w:ind w:left="568" w:hanging="284"/>
    </w:pPr>
    <w:rPr>
      <w:rFonts w:ascii="Garamond" w:hAnsi="Garamond"/>
    </w:rPr>
  </w:style>
  <w:style w:type="paragraph" w:customStyle="1" w:styleId="Byline">
    <w:name w:val="Byline"/>
    <w:rsid w:val="003139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39CC"/>
    <w:pPr>
      <w:tabs>
        <w:tab w:val="clear" w:pos="3600"/>
        <w:tab w:val="clear" w:pos="3958"/>
      </w:tabs>
      <w:jc w:val="right"/>
    </w:pPr>
  </w:style>
  <w:style w:type="character" w:styleId="Emphasis">
    <w:name w:val="Emphasis"/>
    <w:basedOn w:val="DefaultParagraphFont"/>
    <w:qFormat/>
    <w:rsid w:val="003139CC"/>
    <w:rPr>
      <w:i/>
    </w:rPr>
  </w:style>
  <w:style w:type="paragraph" w:styleId="Caption">
    <w:name w:val="caption"/>
    <w:basedOn w:val="BodyText"/>
    <w:next w:val="Normal"/>
    <w:qFormat/>
    <w:rsid w:val="003139CC"/>
    <w:pPr>
      <w:framePr w:w="2268" w:hSpace="181" w:vSpace="181" w:wrap="around" w:vAnchor="text" w:hAnchor="page" w:x="1135" w:y="285" w:anchorLock="1"/>
    </w:pPr>
    <w:rPr>
      <w:i/>
    </w:rPr>
  </w:style>
  <w:style w:type="paragraph" w:customStyle="1" w:styleId="MiniTOCTitle">
    <w:name w:val="MiniTOCTitle"/>
    <w:basedOn w:val="Heading4"/>
    <w:rsid w:val="003139CC"/>
    <w:pPr>
      <w:spacing w:before="240"/>
      <w:outlineLvl w:val="9"/>
    </w:pPr>
    <w:rPr>
      <w:noProof/>
      <w:sz w:val="24"/>
    </w:rPr>
  </w:style>
  <w:style w:type="paragraph" w:customStyle="1" w:styleId="MiniTOCItem">
    <w:name w:val="MiniTOCItem"/>
    <w:basedOn w:val="ListBullet"/>
    <w:rsid w:val="003139CC"/>
    <w:pPr>
      <w:numPr>
        <w:numId w:val="0"/>
      </w:numPr>
      <w:tabs>
        <w:tab w:val="right" w:leader="dot" w:pos="6521"/>
      </w:tabs>
      <w:spacing w:before="0" w:after="0"/>
    </w:pPr>
  </w:style>
  <w:style w:type="paragraph" w:customStyle="1" w:styleId="TOFTitle">
    <w:name w:val="TOFTitle"/>
    <w:basedOn w:val="TOCTitle"/>
    <w:rsid w:val="003139CC"/>
  </w:style>
  <w:style w:type="paragraph" w:styleId="TableofFigures">
    <w:name w:val="table of figures"/>
    <w:basedOn w:val="Normal"/>
    <w:next w:val="Normal"/>
    <w:semiHidden/>
    <w:rsid w:val="003139CC"/>
    <w:pPr>
      <w:tabs>
        <w:tab w:val="right" w:leader="dot" w:pos="9072"/>
      </w:tabs>
      <w:ind w:left="970" w:hanging="403"/>
    </w:pPr>
    <w:rPr>
      <w:rFonts w:ascii="Times New Roman" w:hAnsi="Times New Roman"/>
      <w:b/>
    </w:rPr>
  </w:style>
  <w:style w:type="paragraph" w:styleId="ListNumber">
    <w:name w:val="List Number"/>
    <w:basedOn w:val="List"/>
    <w:rsid w:val="003139CC"/>
    <w:pPr>
      <w:numPr>
        <w:numId w:val="15"/>
      </w:numPr>
      <w:tabs>
        <w:tab w:val="clear" w:pos="340"/>
      </w:tabs>
    </w:pPr>
  </w:style>
  <w:style w:type="character" w:customStyle="1" w:styleId="WingdingSymbols">
    <w:name w:val="Wingding Symbols"/>
    <w:rsid w:val="003139CC"/>
    <w:rPr>
      <w:rFonts w:ascii="Wingdings" w:hAnsi="Wingdings"/>
    </w:rPr>
  </w:style>
  <w:style w:type="paragraph" w:customStyle="1" w:styleId="TableHeading">
    <w:name w:val="Table Heading"/>
    <w:basedOn w:val="HeadingBase"/>
    <w:rsid w:val="003139CC"/>
    <w:pPr>
      <w:keepLines/>
      <w:pBdr>
        <w:bottom w:val="single" w:sz="6" w:space="1" w:color="918585"/>
      </w:pBdr>
      <w:spacing w:before="240"/>
    </w:pPr>
  </w:style>
  <w:style w:type="character" w:customStyle="1" w:styleId="HotSpot">
    <w:name w:val="HotSpot"/>
    <w:rsid w:val="003139CC"/>
    <w:rPr>
      <w:color w:val="0033CC"/>
      <w:u w:val="none"/>
    </w:rPr>
  </w:style>
  <w:style w:type="paragraph" w:customStyle="1" w:styleId="BodyTextRight">
    <w:name w:val="Body Text Right"/>
    <w:basedOn w:val="BodyText"/>
    <w:rsid w:val="003139CC"/>
    <w:pPr>
      <w:spacing w:before="0" w:after="0"/>
      <w:jc w:val="right"/>
    </w:pPr>
  </w:style>
  <w:style w:type="paragraph" w:styleId="Index3">
    <w:name w:val="index 3"/>
    <w:basedOn w:val="ListNumber2"/>
    <w:next w:val="Normal"/>
    <w:semiHidden/>
    <w:rsid w:val="003139CC"/>
    <w:pPr>
      <w:numPr>
        <w:numId w:val="0"/>
      </w:numPr>
      <w:tabs>
        <w:tab w:val="right" w:leader="dot" w:pos="4176"/>
      </w:tabs>
    </w:pPr>
  </w:style>
  <w:style w:type="paragraph" w:styleId="ListNumber2">
    <w:name w:val="List Number 2"/>
    <w:basedOn w:val="List2"/>
    <w:rsid w:val="003139CC"/>
    <w:pPr>
      <w:numPr>
        <w:numId w:val="10"/>
      </w:numPr>
      <w:tabs>
        <w:tab w:val="clear" w:pos="1060"/>
      </w:tabs>
    </w:pPr>
  </w:style>
  <w:style w:type="paragraph" w:customStyle="1" w:styleId="MarginNote">
    <w:name w:val="Margin Note"/>
    <w:basedOn w:val="BodyText"/>
    <w:rsid w:val="003139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39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39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39CC"/>
    <w:rPr>
      <w:sz w:val="32"/>
    </w:rPr>
  </w:style>
  <w:style w:type="paragraph" w:customStyle="1" w:styleId="HeadingProcedure">
    <w:name w:val="Heading Procedure"/>
    <w:basedOn w:val="HeadingBase"/>
    <w:next w:val="Normal"/>
    <w:rsid w:val="003139CC"/>
    <w:pPr>
      <w:tabs>
        <w:tab w:val="left" w:pos="0"/>
      </w:tabs>
      <w:spacing w:before="120" w:after="60"/>
    </w:pPr>
    <w:rPr>
      <w:i/>
      <w:color w:val="918585"/>
      <w:sz w:val="22"/>
    </w:rPr>
  </w:style>
  <w:style w:type="paragraph" w:customStyle="1" w:styleId="TableBodyText">
    <w:name w:val="Table Body Text"/>
    <w:basedOn w:val="BodyText"/>
    <w:rsid w:val="003139CC"/>
    <w:pPr>
      <w:spacing w:before="60" w:after="60"/>
    </w:pPr>
  </w:style>
  <w:style w:type="paragraph" w:styleId="ListContinue">
    <w:name w:val="List Continue"/>
    <w:basedOn w:val="List"/>
    <w:rsid w:val="003139CC"/>
    <w:pPr>
      <w:ind w:firstLine="0"/>
    </w:pPr>
  </w:style>
  <w:style w:type="paragraph" w:customStyle="1" w:styleId="ListNote">
    <w:name w:val="List Note"/>
    <w:basedOn w:val="List"/>
    <w:rsid w:val="003139CC"/>
    <w:pPr>
      <w:pBdr>
        <w:top w:val="single" w:sz="6" w:space="2" w:color="918585"/>
        <w:bottom w:val="single" w:sz="6" w:space="2" w:color="918585"/>
      </w:pBdr>
      <w:tabs>
        <w:tab w:val="left" w:pos="1021"/>
      </w:tabs>
      <w:ind w:firstLine="0"/>
    </w:pPr>
  </w:style>
  <w:style w:type="paragraph" w:customStyle="1" w:styleId="Warning">
    <w:name w:val="Warning"/>
    <w:basedOn w:val="BodyText"/>
    <w:rsid w:val="003139CC"/>
    <w:pPr>
      <w:shd w:val="clear" w:color="auto" w:fill="D9D9D9"/>
      <w:tabs>
        <w:tab w:val="left" w:pos="992"/>
      </w:tabs>
      <w:ind w:left="119" w:right="119"/>
    </w:pPr>
    <w:rPr>
      <w:sz w:val="20"/>
    </w:rPr>
  </w:style>
  <w:style w:type="paragraph" w:customStyle="1" w:styleId="MarginIcons">
    <w:name w:val="Margin Icons"/>
    <w:basedOn w:val="BodyText"/>
    <w:rsid w:val="003139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39CC"/>
    <w:rPr>
      <w:rFonts w:ascii="Courier New" w:hAnsi="Courier New"/>
    </w:rPr>
  </w:style>
  <w:style w:type="paragraph" w:customStyle="1" w:styleId="NoteBullet">
    <w:name w:val="Note Bullet"/>
    <w:basedOn w:val="Note"/>
    <w:rsid w:val="003139CC"/>
    <w:pPr>
      <w:tabs>
        <w:tab w:val="clear" w:pos="680"/>
      </w:tabs>
      <w:spacing w:before="60" w:after="60"/>
    </w:pPr>
  </w:style>
  <w:style w:type="paragraph" w:customStyle="1" w:styleId="SubHeading2">
    <w:name w:val="SubHeading2"/>
    <w:basedOn w:val="HeadingBase"/>
    <w:rsid w:val="003139CC"/>
    <w:pPr>
      <w:spacing w:before="240" w:after="60"/>
    </w:pPr>
    <w:rPr>
      <w:sz w:val="20"/>
    </w:rPr>
  </w:style>
  <w:style w:type="paragraph" w:customStyle="1" w:styleId="SubHeading1">
    <w:name w:val="SubHeading1"/>
    <w:basedOn w:val="HeadingBase"/>
    <w:rsid w:val="003139CC"/>
    <w:pPr>
      <w:spacing w:before="240" w:after="60"/>
    </w:pPr>
    <w:rPr>
      <w:color w:val="918585"/>
      <w:sz w:val="22"/>
    </w:rPr>
  </w:style>
  <w:style w:type="paragraph" w:customStyle="1" w:styleId="SideHeading">
    <w:name w:val="Side Heading"/>
    <w:basedOn w:val="HeadingBase"/>
    <w:rsid w:val="003139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39CC"/>
    <w:pPr>
      <w:tabs>
        <w:tab w:val="num" w:pos="360"/>
      </w:tabs>
    </w:pPr>
  </w:style>
  <w:style w:type="paragraph" w:styleId="PlainText">
    <w:name w:val="Plain Text"/>
    <w:basedOn w:val="Normal"/>
    <w:link w:val="PlainTextChar"/>
    <w:rsid w:val="003139CC"/>
    <w:rPr>
      <w:sz w:val="20"/>
    </w:rPr>
  </w:style>
  <w:style w:type="character" w:customStyle="1" w:styleId="PlainTextChar">
    <w:name w:val="Plain Text Char"/>
    <w:basedOn w:val="DefaultParagraphFont"/>
    <w:link w:val="PlainText"/>
    <w:rsid w:val="003139CC"/>
    <w:rPr>
      <w:rFonts w:ascii="Courier New" w:eastAsia="Times New Roman" w:hAnsi="Courier New" w:cs="Times New Roman"/>
      <w:sz w:val="20"/>
      <w:szCs w:val="20"/>
      <w:lang w:eastAsia="en-US"/>
    </w:rPr>
  </w:style>
  <w:style w:type="character" w:customStyle="1" w:styleId="MenuOption">
    <w:name w:val="Menu Option"/>
    <w:basedOn w:val="DefaultParagraphFont"/>
    <w:rsid w:val="003139CC"/>
    <w:rPr>
      <w:b/>
      <w:smallCaps/>
    </w:rPr>
  </w:style>
  <w:style w:type="paragraph" w:customStyle="1" w:styleId="TableListNumber">
    <w:name w:val="Table List Number"/>
    <w:basedOn w:val="ListNumber"/>
    <w:rsid w:val="003139CC"/>
    <w:pPr>
      <w:numPr>
        <w:numId w:val="0"/>
      </w:numPr>
    </w:pPr>
  </w:style>
  <w:style w:type="paragraph" w:styleId="TOC4">
    <w:name w:val="toc 4"/>
    <w:basedOn w:val="TOCBase"/>
    <w:next w:val="Normal"/>
    <w:semiHidden/>
    <w:rsid w:val="003139CC"/>
    <w:pPr>
      <w:tabs>
        <w:tab w:val="right" w:leader="dot" w:pos="9071"/>
      </w:tabs>
      <w:ind w:left="1701"/>
    </w:pPr>
  </w:style>
  <w:style w:type="paragraph" w:customStyle="1" w:styleId="ListAlpha">
    <w:name w:val="List Alpha"/>
    <w:basedOn w:val="List"/>
    <w:rsid w:val="003139CC"/>
    <w:pPr>
      <w:numPr>
        <w:numId w:val="9"/>
      </w:numPr>
    </w:pPr>
  </w:style>
  <w:style w:type="paragraph" w:customStyle="1" w:styleId="ListAlpha2">
    <w:name w:val="List Alpha 2"/>
    <w:basedOn w:val="List2"/>
    <w:rsid w:val="003139CC"/>
    <w:pPr>
      <w:numPr>
        <w:numId w:val="8"/>
      </w:numPr>
    </w:pPr>
  </w:style>
  <w:style w:type="paragraph" w:styleId="List2">
    <w:name w:val="List 2"/>
    <w:basedOn w:val="BodyText"/>
    <w:rsid w:val="003139CC"/>
    <w:pPr>
      <w:tabs>
        <w:tab w:val="left" w:pos="680"/>
      </w:tabs>
      <w:spacing w:before="60" w:after="60"/>
      <w:ind w:left="680" w:hanging="340"/>
    </w:pPr>
  </w:style>
  <w:style w:type="paragraph" w:styleId="List3">
    <w:name w:val="List 3"/>
    <w:basedOn w:val="BodyText"/>
    <w:rsid w:val="003139CC"/>
    <w:pPr>
      <w:tabs>
        <w:tab w:val="left" w:pos="1021"/>
      </w:tabs>
      <w:spacing w:before="60" w:after="60"/>
      <w:ind w:left="1020" w:hanging="340"/>
    </w:pPr>
  </w:style>
  <w:style w:type="paragraph" w:styleId="List4">
    <w:name w:val="List 4"/>
    <w:basedOn w:val="BodyText"/>
    <w:rsid w:val="003139CC"/>
    <w:pPr>
      <w:tabs>
        <w:tab w:val="left" w:pos="1361"/>
      </w:tabs>
      <w:spacing w:before="60" w:after="60"/>
      <w:ind w:left="1361" w:hanging="340"/>
    </w:pPr>
  </w:style>
  <w:style w:type="paragraph" w:styleId="List5">
    <w:name w:val="List 5"/>
    <w:basedOn w:val="BodyText"/>
    <w:rsid w:val="003139CC"/>
    <w:pPr>
      <w:tabs>
        <w:tab w:val="left" w:pos="1701"/>
      </w:tabs>
      <w:spacing w:before="60" w:after="60"/>
      <w:ind w:left="1701" w:hanging="340"/>
    </w:pPr>
  </w:style>
  <w:style w:type="paragraph" w:styleId="ListBullet3">
    <w:name w:val="List Bullet 3"/>
    <w:basedOn w:val="List3"/>
    <w:rsid w:val="003139CC"/>
    <w:pPr>
      <w:numPr>
        <w:numId w:val="14"/>
      </w:numPr>
      <w:tabs>
        <w:tab w:val="clear" w:pos="1021"/>
      </w:tabs>
      <w:ind w:left="1037" w:hanging="357"/>
    </w:pPr>
  </w:style>
  <w:style w:type="paragraph" w:styleId="ListBullet4">
    <w:name w:val="List Bullet 4"/>
    <w:basedOn w:val="List4"/>
    <w:rsid w:val="003139CC"/>
    <w:pPr>
      <w:numPr>
        <w:numId w:val="3"/>
      </w:numPr>
      <w:tabs>
        <w:tab w:val="clear" w:pos="1361"/>
      </w:tabs>
    </w:pPr>
  </w:style>
  <w:style w:type="paragraph" w:styleId="ListBullet5">
    <w:name w:val="List Bullet 5"/>
    <w:basedOn w:val="List5"/>
    <w:rsid w:val="003139CC"/>
    <w:pPr>
      <w:numPr>
        <w:numId w:val="4"/>
      </w:numPr>
    </w:pPr>
  </w:style>
  <w:style w:type="paragraph" w:styleId="ListContinue2">
    <w:name w:val="List Continue 2"/>
    <w:basedOn w:val="List2"/>
    <w:rsid w:val="003139CC"/>
    <w:pPr>
      <w:ind w:firstLine="0"/>
    </w:pPr>
  </w:style>
  <w:style w:type="paragraph" w:styleId="ListContinue3">
    <w:name w:val="List Continue 3"/>
    <w:basedOn w:val="List3"/>
    <w:rsid w:val="003139CC"/>
    <w:pPr>
      <w:ind w:left="1021" w:firstLine="0"/>
    </w:pPr>
  </w:style>
  <w:style w:type="paragraph" w:styleId="ListContinue4">
    <w:name w:val="List Continue 4"/>
    <w:basedOn w:val="List4"/>
    <w:rsid w:val="003139CC"/>
    <w:pPr>
      <w:ind w:firstLine="0"/>
    </w:pPr>
  </w:style>
  <w:style w:type="paragraph" w:styleId="ListContinue5">
    <w:name w:val="List Continue 5"/>
    <w:basedOn w:val="List5"/>
    <w:rsid w:val="003139CC"/>
    <w:pPr>
      <w:ind w:firstLine="0"/>
    </w:pPr>
  </w:style>
  <w:style w:type="paragraph" w:styleId="ListNumber3">
    <w:name w:val="List Number 3"/>
    <w:basedOn w:val="List3"/>
    <w:rsid w:val="003139CC"/>
    <w:pPr>
      <w:numPr>
        <w:numId w:val="5"/>
      </w:numPr>
    </w:pPr>
  </w:style>
  <w:style w:type="paragraph" w:styleId="ListNumber4">
    <w:name w:val="List Number 4"/>
    <w:basedOn w:val="List4"/>
    <w:rsid w:val="003139CC"/>
    <w:pPr>
      <w:numPr>
        <w:numId w:val="6"/>
      </w:numPr>
    </w:pPr>
  </w:style>
  <w:style w:type="paragraph" w:styleId="ListNumber5">
    <w:name w:val="List Number 5"/>
    <w:basedOn w:val="List5"/>
    <w:rsid w:val="003139CC"/>
    <w:pPr>
      <w:numPr>
        <w:numId w:val="7"/>
      </w:numPr>
    </w:pPr>
  </w:style>
  <w:style w:type="paragraph" w:styleId="BlockText">
    <w:name w:val="Block Text"/>
    <w:basedOn w:val="Normal"/>
    <w:rsid w:val="003139CC"/>
    <w:pPr>
      <w:spacing w:after="120"/>
      <w:ind w:left="1440" w:right="1440"/>
    </w:pPr>
  </w:style>
  <w:style w:type="character" w:customStyle="1" w:styleId="Subscript">
    <w:name w:val="Subscript"/>
    <w:basedOn w:val="DefaultParagraphFont"/>
    <w:rsid w:val="003139CC"/>
    <w:rPr>
      <w:sz w:val="16"/>
      <w:vertAlign w:val="subscript"/>
    </w:rPr>
  </w:style>
  <w:style w:type="character" w:customStyle="1" w:styleId="Superscript">
    <w:name w:val="Superscript"/>
    <w:basedOn w:val="DefaultParagraphFont"/>
    <w:rsid w:val="003139CC"/>
    <w:rPr>
      <w:sz w:val="16"/>
      <w:vertAlign w:val="superscript"/>
    </w:rPr>
  </w:style>
  <w:style w:type="character" w:customStyle="1" w:styleId="Symbols">
    <w:name w:val="Symbols"/>
    <w:basedOn w:val="DefaultParagraphFont"/>
    <w:rsid w:val="003139CC"/>
    <w:rPr>
      <w:rFonts w:ascii="Symbol" w:hAnsi="Symbol"/>
    </w:rPr>
  </w:style>
  <w:style w:type="character" w:customStyle="1" w:styleId="MenuOptions">
    <w:name w:val="Menu Options"/>
    <w:basedOn w:val="DefaultParagraphFont"/>
    <w:rsid w:val="003139CC"/>
    <w:rPr>
      <w:rFonts w:ascii="Arial Narrow" w:hAnsi="Arial Narrow"/>
      <w:smallCaps/>
    </w:rPr>
  </w:style>
  <w:style w:type="character" w:customStyle="1" w:styleId="Buttons">
    <w:name w:val="Buttons"/>
    <w:basedOn w:val="DefaultParagraphFont"/>
    <w:rsid w:val="003139CC"/>
    <w:rPr>
      <w:b/>
    </w:rPr>
  </w:style>
  <w:style w:type="character" w:customStyle="1" w:styleId="Underlined">
    <w:name w:val="Underlined"/>
    <w:basedOn w:val="DefaultParagraphFont"/>
    <w:rsid w:val="003139CC"/>
    <w:rPr>
      <w:u w:val="single"/>
    </w:rPr>
  </w:style>
  <w:style w:type="paragraph" w:customStyle="1" w:styleId="TableBodyTextRight">
    <w:name w:val="Table Body Text Right"/>
    <w:basedOn w:val="TableBodyText"/>
    <w:rsid w:val="003139CC"/>
    <w:pPr>
      <w:widowControl w:val="0"/>
      <w:autoSpaceDE w:val="0"/>
      <w:autoSpaceDN w:val="0"/>
      <w:adjustRightInd w:val="0"/>
      <w:jc w:val="right"/>
    </w:pPr>
    <w:rPr>
      <w:rFonts w:cs="Arial"/>
      <w:szCs w:val="18"/>
    </w:rPr>
  </w:style>
  <w:style w:type="paragraph" w:customStyle="1" w:styleId="CopyrightText">
    <w:name w:val="Copyright Text"/>
    <w:basedOn w:val="BodyText"/>
    <w:rsid w:val="003139CC"/>
    <w:rPr>
      <w:sz w:val="18"/>
    </w:rPr>
  </w:style>
  <w:style w:type="paragraph" w:customStyle="1" w:styleId="BodySmallRight">
    <w:name w:val="Body Small Right"/>
    <w:basedOn w:val="BodyTextRight"/>
    <w:rsid w:val="003139CC"/>
    <w:rPr>
      <w:sz w:val="18"/>
      <w:szCs w:val="18"/>
    </w:rPr>
  </w:style>
  <w:style w:type="paragraph" w:customStyle="1" w:styleId="MarginEdition">
    <w:name w:val="Margin Edition"/>
    <w:basedOn w:val="MarginNote"/>
    <w:rsid w:val="003139CC"/>
    <w:pPr>
      <w:spacing w:before="0" w:after="0"/>
    </w:pPr>
    <w:rPr>
      <w:rFonts w:ascii="Times New Roman" w:hAnsi="Times New Roman"/>
      <w:color w:val="999999"/>
    </w:rPr>
  </w:style>
  <w:style w:type="paragraph" w:customStyle="1" w:styleId="Spacer">
    <w:name w:val="Spacer"/>
    <w:basedOn w:val="Normal"/>
    <w:rsid w:val="003139CC"/>
    <w:rPr>
      <w:sz w:val="2"/>
      <w:szCs w:val="2"/>
    </w:rPr>
  </w:style>
  <w:style w:type="character" w:customStyle="1" w:styleId="Small">
    <w:name w:val="Small"/>
    <w:basedOn w:val="DefaultParagraphFont"/>
    <w:rsid w:val="003139CC"/>
    <w:rPr>
      <w:sz w:val="16"/>
    </w:rPr>
  </w:style>
  <w:style w:type="paragraph" w:customStyle="1" w:styleId="WideTable">
    <w:name w:val="Wide Table"/>
    <w:basedOn w:val="Normal"/>
    <w:rsid w:val="003139CC"/>
    <w:pPr>
      <w:ind w:left="-1418"/>
    </w:pPr>
    <w:rPr>
      <w:sz w:val="2"/>
      <w:szCs w:val="2"/>
    </w:rPr>
  </w:style>
  <w:style w:type="character" w:styleId="PageNumber">
    <w:name w:val="page number"/>
    <w:basedOn w:val="DefaultParagraphFont"/>
    <w:rsid w:val="003139CC"/>
  </w:style>
  <w:style w:type="paragraph" w:styleId="Quote">
    <w:name w:val="Quote"/>
    <w:basedOn w:val="Heading1"/>
    <w:link w:val="QuoteChar"/>
    <w:qFormat/>
    <w:rsid w:val="003139CC"/>
    <w:rPr>
      <w:b w:val="0"/>
      <w:sz w:val="72"/>
      <w:szCs w:val="72"/>
      <w:lang w:val="en-NZ"/>
    </w:rPr>
  </w:style>
  <w:style w:type="character" w:customStyle="1" w:styleId="QuoteChar">
    <w:name w:val="Quote Char"/>
    <w:basedOn w:val="DefaultParagraphFont"/>
    <w:link w:val="Quote"/>
    <w:rsid w:val="003139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39CC"/>
    <w:pPr>
      <w:pageBreakBefore/>
    </w:pPr>
  </w:style>
  <w:style w:type="paragraph" w:customStyle="1" w:styleId="Border">
    <w:name w:val="Border"/>
    <w:basedOn w:val="Normal"/>
    <w:qFormat/>
    <w:rsid w:val="003139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39CC"/>
    <w:rPr>
      <w:b/>
      <w:bCs/>
      <w:i/>
      <w:iCs/>
      <w:color w:val="auto"/>
    </w:rPr>
  </w:style>
  <w:style w:type="paragraph" w:styleId="IntenseQuote">
    <w:name w:val="Intense Quote"/>
    <w:basedOn w:val="Normal"/>
    <w:next w:val="Normal"/>
    <w:link w:val="IntenseQuoteChar"/>
    <w:uiPriority w:val="30"/>
    <w:qFormat/>
    <w:rsid w:val="003139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39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39CC"/>
    <w:rPr>
      <w:smallCaps/>
      <w:color w:val="auto"/>
      <w:u w:val="single"/>
    </w:rPr>
  </w:style>
  <w:style w:type="character" w:styleId="IntenseReference">
    <w:name w:val="Intense Reference"/>
    <w:basedOn w:val="DefaultParagraphFont"/>
    <w:uiPriority w:val="32"/>
    <w:qFormat/>
    <w:rsid w:val="003139CC"/>
    <w:rPr>
      <w:b/>
      <w:bCs/>
      <w:smallCaps/>
      <w:color w:val="auto"/>
      <w:spacing w:val="5"/>
      <w:u w:val="single"/>
    </w:rPr>
  </w:style>
  <w:style w:type="paragraph" w:customStyle="1" w:styleId="2ColumnHeading">
    <w:name w:val="2Column Heading"/>
    <w:basedOn w:val="BodyText"/>
    <w:qFormat/>
    <w:rsid w:val="003139CC"/>
    <w:pPr>
      <w:spacing w:after="60"/>
      <w:ind w:left="-2268"/>
    </w:pPr>
    <w:rPr>
      <w:b/>
    </w:rPr>
  </w:style>
  <w:style w:type="paragraph" w:customStyle="1" w:styleId="Heading1TOC">
    <w:name w:val="Heading1 TOC"/>
    <w:basedOn w:val="Normal"/>
    <w:qFormat/>
    <w:rsid w:val="003139CC"/>
    <w:pPr>
      <w:spacing w:before="240" w:after="120"/>
    </w:pPr>
    <w:rPr>
      <w:rFonts w:ascii="Times New Roman" w:hAnsi="Times New Roman"/>
      <w:b/>
      <w:sz w:val="32"/>
    </w:rPr>
  </w:style>
  <w:style w:type="paragraph" w:customStyle="1" w:styleId="Heading2TOC">
    <w:name w:val="Heading2 TOC"/>
    <w:basedOn w:val="Normal"/>
    <w:qFormat/>
    <w:rsid w:val="003139CC"/>
    <w:pPr>
      <w:spacing w:before="240" w:after="60"/>
    </w:pPr>
    <w:rPr>
      <w:rFonts w:ascii="Times New Roman" w:hAnsi="Times New Roman"/>
      <w:b/>
      <w:sz w:val="28"/>
    </w:rPr>
  </w:style>
  <w:style w:type="character" w:customStyle="1" w:styleId="Underline">
    <w:name w:val="Underline"/>
    <w:basedOn w:val="DefaultParagraphFont"/>
    <w:qFormat/>
    <w:rsid w:val="003139CC"/>
    <w:rPr>
      <w:u w:val="single"/>
    </w:rPr>
  </w:style>
  <w:style w:type="character" w:customStyle="1" w:styleId="BoldandItalics">
    <w:name w:val="Bold and Italics"/>
    <w:qFormat/>
    <w:rsid w:val="003139CC"/>
    <w:rPr>
      <w:b/>
      <w:i/>
      <w:u w:val="none"/>
    </w:rPr>
  </w:style>
  <w:style w:type="paragraph" w:styleId="BalloonText">
    <w:name w:val="Balloon Text"/>
    <w:basedOn w:val="Normal"/>
    <w:link w:val="BalloonTextChar"/>
    <w:rsid w:val="003139CC"/>
    <w:rPr>
      <w:rFonts w:ascii="Tahoma" w:hAnsi="Tahoma" w:cs="Tahoma"/>
      <w:sz w:val="16"/>
      <w:szCs w:val="16"/>
    </w:rPr>
  </w:style>
  <w:style w:type="character" w:customStyle="1" w:styleId="BalloonTextChar">
    <w:name w:val="Balloon Text Char"/>
    <w:basedOn w:val="DefaultParagraphFont"/>
    <w:link w:val="BalloonText"/>
    <w:rsid w:val="003139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39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39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39CC"/>
    <w:rPr>
      <w:b/>
      <w:color w:val="660033"/>
      <w:spacing w:val="0"/>
    </w:rPr>
  </w:style>
  <w:style w:type="paragraph" w:customStyle="1" w:styleId="Nameditemlist">
    <w:name w:val="Named item list"/>
    <w:basedOn w:val="BodyText"/>
    <w:qFormat/>
    <w:rsid w:val="003139CC"/>
    <w:pPr>
      <w:tabs>
        <w:tab w:val="left" w:pos="2835"/>
      </w:tabs>
      <w:ind w:left="2835" w:hanging="2835"/>
    </w:pPr>
  </w:style>
  <w:style w:type="paragraph" w:customStyle="1" w:styleId="BodyTextnopadding">
    <w:name w:val="Body Text no padding"/>
    <w:basedOn w:val="BodyText"/>
    <w:qFormat/>
    <w:rsid w:val="003139CC"/>
    <w:pPr>
      <w:spacing w:before="0" w:after="0"/>
    </w:pPr>
  </w:style>
  <w:style w:type="paragraph" w:customStyle="1" w:styleId="BodyTextBold">
    <w:name w:val="Body Text Bold"/>
    <w:basedOn w:val="BodyText"/>
    <w:qFormat/>
    <w:rsid w:val="003139CC"/>
    <w:rPr>
      <w:b/>
    </w:rPr>
  </w:style>
  <w:style w:type="character" w:styleId="Hyperlink">
    <w:name w:val="Hyperlink"/>
    <w:basedOn w:val="DefaultParagraphFont"/>
    <w:uiPriority w:val="99"/>
    <w:unhideWhenUsed/>
    <w:rsid w:val="002F46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1535</Words>
  <Characters>9921</Characters>
  <Application>Microsoft Office Word</Application>
  <DocSecurity>0</DocSecurity>
  <Lines>320</Lines>
  <Paragraphs>184</Paragraphs>
  <ScaleCrop>false</ScaleCrop>
  <Company>Author-it Software Corporation Ltd.</Company>
  <LinksUpToDate>false</LinksUpToDate>
  <CharactersWithSpaces>11272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UETTDRIS69 Diagnose and rectify faults in energy supply apparatus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2025-03-01T23:35:00Z</dcterms:created>
  <dcterms:modified xsi:type="dcterms:W3CDTF">2025-03-01T23:35:00Z</dcterms:modified>
</cp:coreProperties>
</file>