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687" w:rsidP="00BB5687">
      <w:pPr>
        <w:pStyle w:val="Title"/>
      </w:pPr>
      <w:r>
        <w:fldChar w:fldCharType="begin"/>
      </w:r>
      <w:r>
        <w:instrText xml:space="preserve"> TITLE   \* MERGEFORMAT </w:instrText>
      </w:r>
      <w:r>
        <w:fldChar w:fldCharType="separate"/>
      </w:r>
      <w:r>
        <w:t>Assessment Requirements for UETTDRIS69 Diagnose and rectify faults in energy supply apparatus</w:t>
      </w:r>
      <w:r>
        <w:fldChar w:fldCharType="end"/>
      </w:r>
    </w:p>
    <w:p w:rsidR="00BB5687" w:rsidP="00BB5687">
      <w:pPr>
        <w:pStyle w:val="Version"/>
        <w:sectPr w:rsidSect="004149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9CE" w:rsidP="004149CE">
      <w:pPr>
        <w:pStyle w:val="SuperHeading"/>
      </w:pPr>
      <w:r w:rsidRPr="004149CE">
        <w:t>Assessment Requirements for UETTDRIS69 Diagnose and rectify faults in energy supply apparatus</w:t>
      </w:r>
    </w:p>
    <w:p w:rsidR="00000000" w:rsidRPr="004149CE" w:rsidP="004149CE">
      <w:pPr>
        <w:pStyle w:val="Heading1"/>
      </w:pPr>
      <w:bookmarkStart w:id="1" w:name="O_1003716"/>
      <w:bookmarkEnd w:id="1"/>
      <w:r w:rsidRPr="004149CE">
        <w:t>Modification History</w:t>
      </w:r>
    </w:p>
    <w:tbl>
      <w:tblPr>
        <w:tblW w:w="9497" w:type="dxa"/>
        <w:tblLayout w:type="fixed"/>
        <w:tblCellMar>
          <w:left w:w="62" w:type="dxa"/>
          <w:right w:w="62" w:type="dxa"/>
        </w:tblCellMar>
        <w:tblLook w:val="0000"/>
      </w:tblPr>
      <w:tblGrid>
        <w:gridCol w:w="9497"/>
      </w:tblGrid>
      <w:tr w:rsidTr="004149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9CE" w:rsidP="004149CE">
            <w:pPr>
              <w:pStyle w:val="BodyText"/>
            </w:pPr>
            <w:r w:rsidRPr="004149CE">
              <w:t>Release 1. This is the first release of this unit of competency in the UET Transmission, Distribution and Rail Sector Training Package.</w:t>
            </w:r>
          </w:p>
        </w:tc>
      </w:tr>
    </w:tbl>
    <w:p w:rsidR="00000000" w:rsidRPr="004149CE" w:rsidP="004149CE">
      <w:pPr>
        <w:pStyle w:val="NoPaddingFontSize1"/>
      </w:pPr>
    </w:p>
    <w:p w:rsidR="00000000" w:rsidRPr="004149CE" w:rsidP="004149CE">
      <w:pPr>
        <w:pStyle w:val="AllowPageBreak"/>
      </w:pPr>
    </w:p>
    <w:p w:rsidR="00000000" w:rsidRPr="004149CE" w:rsidP="004149CE">
      <w:pPr>
        <w:pStyle w:val="Heading1"/>
      </w:pPr>
      <w:bookmarkStart w:id="2" w:name="O_1003717"/>
      <w:bookmarkEnd w:id="2"/>
      <w:r w:rsidRPr="004149CE">
        <w:t>Performance Evidence</w:t>
      </w:r>
    </w:p>
    <w:tbl>
      <w:tblPr>
        <w:tblW w:w="9497" w:type="dxa"/>
        <w:tblLayout w:type="fixed"/>
        <w:tblCellMar>
          <w:left w:w="62" w:type="dxa"/>
          <w:right w:w="62" w:type="dxa"/>
        </w:tblCellMar>
        <w:tblLook w:val="0000"/>
      </w:tblPr>
      <w:tblGrid>
        <w:gridCol w:w="9497"/>
      </w:tblGrid>
      <w:tr w:rsidTr="004149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49CE">
            <w:pPr>
              <w:pStyle w:val="BodyText"/>
              <w:rPr>
                <w:lang w:val="en-NZ"/>
              </w:rPr>
            </w:pPr>
            <w:r w:rsidRPr="004149CE">
              <w:t>Evidence required to demonstrate competence in this unit must be relevant to a</w:t>
            </w:r>
            <w:r w:rsidRPr="004149CE">
              <w:t xml:space="preserve">nd satisfy all of the requirements of the elements and performance criteria on at least two separate occasions and include:  </w:t>
            </w:r>
          </w:p>
        </w:tc>
      </w:tr>
      <w:tr w:rsidTr="004149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9CE" w:rsidP="004149CE">
            <w:pPr>
              <w:pStyle w:val="ListBullet"/>
            </w:pPr>
            <w:r w:rsidRPr="004149CE">
              <w:t>applying relevant work health and safety (WHS)/occupational health and safety (OHS) requirements, including the use of risk cont</w:t>
            </w:r>
            <w:r w:rsidRPr="004149CE">
              <w:t>rol measures</w:t>
            </w:r>
          </w:p>
          <w:p w:rsidR="00000000" w:rsidRPr="004149CE" w:rsidP="004149CE">
            <w:pPr>
              <w:pStyle w:val="ListBullet"/>
            </w:pPr>
            <w:r w:rsidRPr="004149CE">
              <w:t>applying sustainable energy principles and practices</w:t>
            </w:r>
          </w:p>
          <w:p w:rsidR="00000000" w:rsidRPr="004149CE" w:rsidP="004149CE">
            <w:pPr>
              <w:pStyle w:val="ListBullet"/>
            </w:pPr>
            <w:r w:rsidRPr="004149CE">
              <w:t>diagnosing and rectifying faults in energy supply apparatus, including:</w:t>
            </w:r>
          </w:p>
          <w:p w:rsidR="00000000" w:rsidRPr="004149CE" w:rsidP="004149CE">
            <w:pPr>
              <w:pStyle w:val="ListBullet2"/>
            </w:pPr>
            <w:r w:rsidRPr="004149CE">
              <w:t>applying logical diagnostic methods</w:t>
            </w:r>
          </w:p>
          <w:p w:rsidR="00000000" w:rsidRPr="004149CE" w:rsidP="004149CE">
            <w:pPr>
              <w:pStyle w:val="ListBullet2"/>
            </w:pPr>
            <w:r w:rsidRPr="004149CE">
              <w:t>using fault scenarios to test the cause of system faults</w:t>
            </w:r>
          </w:p>
          <w:p w:rsidR="00000000" w:rsidRPr="004149CE" w:rsidP="004149CE">
            <w:pPr>
              <w:pStyle w:val="ListBullet2"/>
            </w:pPr>
            <w:r w:rsidRPr="004149CE">
              <w:t>identifying faults and competency needed to rectify them</w:t>
            </w:r>
          </w:p>
          <w:p w:rsidR="00000000" w:rsidRPr="004149CE" w:rsidP="004149CE">
            <w:pPr>
              <w:pStyle w:val="ListBullet2"/>
            </w:pPr>
            <w:r w:rsidRPr="004149CE">
              <w:t>rectifying faults in system controls</w:t>
            </w:r>
          </w:p>
          <w:p w:rsidR="00000000" w:rsidRPr="004149CE" w:rsidP="004149CE">
            <w:pPr>
              <w:pStyle w:val="ListBullet2"/>
            </w:pPr>
            <w:r w:rsidRPr="004149CE">
              <w:t>verifying that the system operates correctly</w:t>
            </w:r>
          </w:p>
          <w:p w:rsidR="00000000" w:rsidRPr="004149CE" w:rsidP="004149CE">
            <w:pPr>
              <w:pStyle w:val="ListBullet2"/>
            </w:pPr>
            <w:r w:rsidRPr="004149CE">
              <w:t>documenting fault rectification</w:t>
            </w:r>
          </w:p>
          <w:p w:rsidR="00000000" w:rsidRPr="004149CE" w:rsidP="004149CE">
            <w:pPr>
              <w:pStyle w:val="ListBullet2"/>
            </w:pPr>
            <w:r w:rsidRPr="004149CE">
              <w:t>dealing with unplanned events on at least one occasion.</w:t>
            </w:r>
          </w:p>
          <w:p w:rsidR="00000000" w:rsidRPr="004149CE" w:rsidP="004149CE">
            <w:pPr>
              <w:pStyle w:val="BodyText"/>
            </w:pPr>
            <w:r w:rsidRPr="004149CE">
              <w:t xml:space="preserve">Note: </w:t>
            </w:r>
          </w:p>
          <w:p w:rsidR="00000000" w:rsidRPr="004149CE" w:rsidP="004149CE">
            <w:pPr>
              <w:pStyle w:val="BodyText"/>
            </w:pPr>
            <w:r w:rsidRPr="004149CE">
              <w:t xml:space="preserve">Successful completion </w:t>
            </w:r>
            <w:r w:rsidRPr="004149CE">
              <w:t>of relevant vendor training may be used to contribute to evidence on which competency is deemed. In these cases, the alignment of outcomes of vendor training with performance criteria and critical aspects of evidence shall be clearly identified.</w:t>
            </w:r>
          </w:p>
        </w:tc>
      </w:tr>
    </w:tbl>
    <w:p w:rsidR="00000000" w:rsidRPr="004149CE" w:rsidP="004149CE">
      <w:pPr>
        <w:pStyle w:val="NoPaddingFontSize1"/>
      </w:pPr>
    </w:p>
    <w:p w:rsidR="00000000" w:rsidRPr="004149CE" w:rsidP="004149CE">
      <w:pPr>
        <w:pStyle w:val="AllowPageBreak"/>
      </w:pPr>
    </w:p>
    <w:p w:rsidR="00000000" w:rsidRPr="004149CE" w:rsidP="004149CE">
      <w:pPr>
        <w:pStyle w:val="Heading1"/>
      </w:pPr>
      <w:bookmarkStart w:id="3" w:name="O_1003718"/>
      <w:bookmarkEnd w:id="3"/>
      <w:r w:rsidRPr="004149CE">
        <w:t>Knowledge Evidence</w:t>
      </w:r>
    </w:p>
    <w:tbl>
      <w:tblPr>
        <w:tblW w:w="9497" w:type="dxa"/>
        <w:tblLayout w:type="fixed"/>
        <w:tblCellMar>
          <w:left w:w="62" w:type="dxa"/>
          <w:right w:w="62" w:type="dxa"/>
        </w:tblCellMar>
        <w:tblLook w:val="0000"/>
      </w:tblPr>
      <w:tblGrid>
        <w:gridCol w:w="9497"/>
      </w:tblGrid>
      <w:tr w:rsidTr="004149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49CE">
            <w:pPr>
              <w:pStyle w:val="BodyText"/>
              <w:rPr>
                <w:lang w:val="en-NZ"/>
              </w:rPr>
            </w:pPr>
            <w:r w:rsidRPr="004149CE">
              <w:t>Evidence required to demonstrate competence in this unit must be relevant to and satisfy all of the requirements of the elements and performance criteria and include knowledge of:</w:t>
            </w:r>
          </w:p>
        </w:tc>
      </w:tr>
      <w:tr w:rsidTr="004149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9CE" w:rsidP="004149CE">
            <w:pPr>
              <w:pStyle w:val="ListBullet"/>
            </w:pPr>
            <w:r w:rsidRPr="004149CE">
              <w:t>control of voltage encompassing:</w:t>
            </w:r>
          </w:p>
          <w:p w:rsidR="00000000" w:rsidRPr="004149CE" w:rsidP="004149CE">
            <w:pPr>
              <w:pStyle w:val="ListBullet2"/>
            </w:pPr>
            <w:r w:rsidRPr="004149CE">
              <w:t>conditions leading to voltage collapse and system disintegration</w:t>
            </w:r>
          </w:p>
          <w:p w:rsidR="00000000" w:rsidRPr="004149CE" w:rsidP="004149CE">
            <w:pPr>
              <w:pStyle w:val="ListBullet2"/>
            </w:pPr>
            <w:r w:rsidRPr="004149CE">
              <w:t>effects on the system of high voltage (HV)/low voltage (LV)</w:t>
            </w:r>
          </w:p>
          <w:p w:rsidR="00000000" w:rsidRPr="004149CE" w:rsidP="004149CE">
            <w:pPr>
              <w:pStyle w:val="ListBullet2"/>
            </w:pPr>
            <w:r w:rsidRPr="004149CE">
              <w:t>voltage control devices - voltage regulators applied to generators and synchronous phase modifiers; electromagnetic voltage regulat</w:t>
            </w:r>
            <w:r w:rsidRPr="004149CE">
              <w:t xml:space="preserve">ors; series and parallel capacitors; on-load tap changers (OLTC) transformers and static VAR compensations (SVCs), such as saturated reactor (SR) compensations, thyristor controlled reactor (TCR) compensators, combined </w:t>
            </w:r>
            <w:r w:rsidRPr="004149CE">
              <w:t>TCR/TSCs and the production of wave-f</w:t>
            </w:r>
            <w:r w:rsidRPr="004149CE">
              <w:t>orm distorting harmonics and control devices</w:t>
            </w:r>
          </w:p>
          <w:p w:rsidR="00000000" w:rsidRPr="004149CE" w:rsidP="004149CE">
            <w:pPr>
              <w:pStyle w:val="ListBullet"/>
            </w:pPr>
            <w:r w:rsidRPr="004149CE">
              <w:t>the importance of the location in the system of voltage control devices</w:t>
            </w:r>
          </w:p>
          <w:p w:rsidR="00000000" w:rsidRPr="004149CE" w:rsidP="004149CE">
            <w:pPr>
              <w:pStyle w:val="ListBullet"/>
            </w:pPr>
            <w:r w:rsidRPr="004149CE">
              <w:t>the use of graphical methods to calculate the size of VAR regulating plant</w:t>
            </w:r>
          </w:p>
          <w:p w:rsidR="00000000" w:rsidRPr="004149CE" w:rsidP="004149CE">
            <w:pPr>
              <w:pStyle w:val="ListBullet"/>
            </w:pPr>
            <w:r w:rsidRPr="004149CE">
              <w:t>control of power encompassing:</w:t>
            </w:r>
          </w:p>
          <w:p w:rsidR="00000000" w:rsidRPr="004149CE" w:rsidP="004149CE">
            <w:pPr>
              <w:pStyle w:val="ListBullet2"/>
            </w:pPr>
            <w:r w:rsidRPr="004149CE">
              <w:t>base load and spinning reserve</w:t>
            </w:r>
          </w:p>
          <w:p w:rsidR="00000000" w:rsidRPr="004149CE" w:rsidP="004149CE">
            <w:pPr>
              <w:pStyle w:val="ListBullet2"/>
            </w:pPr>
            <w:r w:rsidRPr="004149CE">
              <w:t>regulating machines</w:t>
            </w:r>
          </w:p>
          <w:p w:rsidR="00000000" w:rsidRPr="004149CE" w:rsidP="004149CE">
            <w:pPr>
              <w:pStyle w:val="ListBullet2"/>
            </w:pPr>
            <w:r w:rsidRPr="004149CE">
              <w:t>rapid start plant</w:t>
            </w:r>
          </w:p>
          <w:p w:rsidR="00000000" w:rsidRPr="004149CE" w:rsidP="004149CE">
            <w:pPr>
              <w:pStyle w:val="ListBullet2"/>
            </w:pPr>
            <w:r w:rsidRPr="004149CE">
              <w:t>phase shifting transformers and various forms of load shedding</w:t>
            </w:r>
          </w:p>
          <w:p w:rsidR="00000000" w:rsidRPr="004149CE" w:rsidP="004149CE">
            <w:pPr>
              <w:pStyle w:val="ListBullet2"/>
            </w:pPr>
            <w:r w:rsidRPr="004149CE">
              <w:t>principles and practices of automated control of individual machines</w:t>
            </w:r>
          </w:p>
          <w:p w:rsidR="00000000" w:rsidRPr="004149CE" w:rsidP="004149CE">
            <w:pPr>
              <w:pStyle w:val="ListBullet2"/>
            </w:pPr>
            <w:r w:rsidRPr="004149CE">
              <w:t>stations and transmission/tie-line elements</w:t>
            </w:r>
          </w:p>
          <w:p w:rsidR="00000000" w:rsidRPr="004149CE" w:rsidP="004149CE">
            <w:pPr>
              <w:pStyle w:val="ListBullet2"/>
            </w:pPr>
            <w:r w:rsidRPr="004149CE">
              <w:t>synchronising power</w:t>
            </w:r>
          </w:p>
          <w:p w:rsidR="00000000" w:rsidRPr="004149CE" w:rsidP="004149CE">
            <w:pPr>
              <w:pStyle w:val="ListBullet"/>
            </w:pPr>
            <w:r w:rsidRPr="004149CE">
              <w:t>the relationship between power and frequency encompassing:</w:t>
            </w:r>
          </w:p>
          <w:p w:rsidR="00000000" w:rsidRPr="004149CE" w:rsidP="004149CE">
            <w:pPr>
              <w:pStyle w:val="ListBullet2"/>
            </w:pPr>
            <w:r w:rsidRPr="004149CE">
              <w:t>limiting values</w:t>
            </w:r>
          </w:p>
          <w:p w:rsidR="00000000" w:rsidRPr="004149CE" w:rsidP="004149CE">
            <w:pPr>
              <w:pStyle w:val="ListBullet2"/>
            </w:pPr>
            <w:r w:rsidRPr="004149CE">
              <w:t>machine stabilising - steam by-pass, rapid valving, slip stabilisers and over speed limiting</w:t>
            </w:r>
          </w:p>
          <w:p w:rsidR="00000000" w:rsidRPr="004149CE" w:rsidP="004149CE">
            <w:pPr>
              <w:pStyle w:val="ListBullet2"/>
            </w:pPr>
            <w:r w:rsidRPr="004149CE">
              <w:t>use of single pole generator CB</w:t>
            </w:r>
            <w:r>
              <w:t>’</w:t>
            </w:r>
            <w:r w:rsidRPr="004149CE">
              <w:t>s</w:t>
            </w:r>
          </w:p>
          <w:p w:rsidR="00000000" w:rsidRPr="004149CE" w:rsidP="004149CE">
            <w:pPr>
              <w:pStyle w:val="ListBullet2"/>
            </w:pPr>
            <w:r w:rsidRPr="004149CE">
              <w:t>use of machine AVR</w:t>
            </w:r>
            <w:r>
              <w:t>’</w:t>
            </w:r>
            <w:r w:rsidRPr="004149CE">
              <w:t>s as angular stabilisers</w:t>
            </w:r>
          </w:p>
          <w:p w:rsidR="00000000" w:rsidRPr="004149CE" w:rsidP="004149CE">
            <w:pPr>
              <w:pStyle w:val="ListBullet2"/>
            </w:pPr>
            <w:r w:rsidRPr="004149CE">
              <w:t>damped an</w:t>
            </w:r>
            <w:r w:rsidRPr="004149CE">
              <w:t>d un-damped system oscillations</w:t>
            </w:r>
          </w:p>
          <w:p w:rsidR="00000000" w:rsidRPr="004149CE" w:rsidP="004149CE">
            <w:pPr>
              <w:pStyle w:val="ListBullet2"/>
            </w:pPr>
            <w:r w:rsidRPr="004149CE">
              <w:t>relationship between fault clearance times and system stability</w:t>
            </w:r>
          </w:p>
          <w:p w:rsidR="00000000" w:rsidRPr="004149CE" w:rsidP="004149CE">
            <w:pPr>
              <w:pStyle w:val="ListBullet2"/>
            </w:pPr>
            <w:r w:rsidRPr="004149CE">
              <w:t>calculation of critical clearance angles based on equal area criteria</w:t>
            </w:r>
          </w:p>
          <w:p w:rsidR="00000000" w:rsidRPr="004149CE" w:rsidP="004149CE">
            <w:pPr>
              <w:pStyle w:val="ListBullet"/>
            </w:pPr>
            <w:r w:rsidRPr="004149CE">
              <w:t>types of communication systems encompassing:</w:t>
            </w:r>
          </w:p>
          <w:p w:rsidR="00000000" w:rsidRPr="004149CE" w:rsidP="004149CE">
            <w:pPr>
              <w:pStyle w:val="ListBullet2"/>
            </w:pPr>
            <w:r w:rsidRPr="004149CE">
              <w:t>telephone, power line carrier, dedicated cable, microwave links and fibre optics</w:t>
            </w:r>
          </w:p>
          <w:p w:rsidR="00000000" w:rsidRPr="004149CE" w:rsidP="004149CE">
            <w:pPr>
              <w:pStyle w:val="ListBullet2"/>
            </w:pPr>
            <w:r w:rsidRPr="004149CE">
              <w:t>quantities and signals to be communicated</w:t>
            </w:r>
          </w:p>
          <w:p w:rsidR="00000000" w:rsidRPr="004149CE" w:rsidP="004149CE">
            <w:pPr>
              <w:pStyle w:val="ListBullet2"/>
            </w:pPr>
            <w:r w:rsidRPr="004149CE">
              <w:t>advantages and disadvantages of the various systems</w:t>
            </w:r>
          </w:p>
          <w:p w:rsidR="00000000" w:rsidRPr="004149CE" w:rsidP="004149CE">
            <w:pPr>
              <w:pStyle w:val="ListBullet2"/>
            </w:pPr>
            <w:r w:rsidRPr="004149CE">
              <w:t>equipment requirements</w:t>
            </w:r>
          </w:p>
          <w:p w:rsidR="00000000" w:rsidRPr="004149CE" w:rsidP="004149CE">
            <w:pPr>
              <w:pStyle w:val="ListBullet"/>
            </w:pPr>
            <w:r w:rsidRPr="004149CE">
              <w:t>transient over-voltages in power systems encompassing:</w:t>
            </w:r>
          </w:p>
          <w:p w:rsidR="00000000" w:rsidRPr="004149CE" w:rsidP="004149CE">
            <w:pPr>
              <w:pStyle w:val="ListBullet2"/>
            </w:pPr>
            <w:r w:rsidRPr="004149CE">
              <w:t>s</w:t>
            </w:r>
            <w:r w:rsidRPr="004149CE">
              <w:t>witching and lightning over-voltages and their effect on different plant items</w:t>
            </w:r>
          </w:p>
          <w:p w:rsidR="00000000" w:rsidRPr="004149CE" w:rsidP="004149CE">
            <w:pPr>
              <w:pStyle w:val="ListBullet2"/>
            </w:pPr>
            <w:r w:rsidRPr="004149CE">
              <w:t>transient over-voltage control and reduction using surge diverters, shield wires and CB control</w:t>
            </w:r>
          </w:p>
          <w:p w:rsidR="00000000" w:rsidRPr="004149CE" w:rsidP="004149CE">
            <w:pPr>
              <w:pStyle w:val="ListBullet2"/>
            </w:pPr>
            <w:r w:rsidRPr="004149CE">
              <w:t>insulation systems, insulation coordination, insulation grading in plant items, b</w:t>
            </w:r>
            <w:r w:rsidRPr="004149CE">
              <w:t>ushings and capacitor bushings</w:t>
            </w:r>
          </w:p>
          <w:p w:rsidR="00000000" w:rsidRPr="004149CE" w:rsidP="004149CE">
            <w:pPr>
              <w:pStyle w:val="ListBullet"/>
            </w:pPr>
            <w:r w:rsidRPr="004149CE">
              <w:t>factors leading to the generation of corona encompassing:</w:t>
            </w:r>
          </w:p>
          <w:p w:rsidR="00000000" w:rsidRPr="004149CE" w:rsidP="004149CE">
            <w:pPr>
              <w:pStyle w:val="ListBullet2"/>
            </w:pPr>
            <w:r w:rsidRPr="004149CE">
              <w:t>consequences of corona</w:t>
            </w:r>
          </w:p>
          <w:p w:rsidR="00000000" w:rsidRPr="004149CE" w:rsidP="004149CE">
            <w:pPr>
              <w:pStyle w:val="ListBullet2"/>
            </w:pPr>
            <w:r w:rsidRPr="004149CE">
              <w:t>reduction of corona</w:t>
            </w:r>
          </w:p>
          <w:p w:rsidR="00000000" w:rsidRPr="004149CE" w:rsidP="004149CE">
            <w:pPr>
              <w:pStyle w:val="ListBullet2"/>
            </w:pPr>
            <w:r w:rsidRPr="004149CE">
              <w:t>conductor bundling, grading rings and conductor surface treatment</w:t>
            </w:r>
          </w:p>
          <w:p w:rsidR="00000000" w:rsidRPr="004149CE" w:rsidP="004149CE">
            <w:pPr>
              <w:pStyle w:val="ListBullet"/>
            </w:pPr>
            <w:r w:rsidRPr="004149CE">
              <w:t>power system protection encompassing:</w:t>
            </w:r>
          </w:p>
          <w:p w:rsidR="00000000" w:rsidRPr="004149CE" w:rsidP="004149CE">
            <w:pPr>
              <w:pStyle w:val="ListBullet2"/>
            </w:pPr>
            <w:r w:rsidRPr="004149CE">
              <w:t>location of CT</w:t>
            </w:r>
            <w:r>
              <w:t>’</w:t>
            </w:r>
            <w:r w:rsidRPr="004149CE">
              <w:t>s</w:t>
            </w:r>
            <w:r w:rsidRPr="004149CE">
              <w:t xml:space="preserve"> in major plant items</w:t>
            </w:r>
          </w:p>
          <w:p w:rsidR="00000000" w:rsidRPr="004149CE" w:rsidP="004149CE">
            <w:pPr>
              <w:pStyle w:val="ListBullet2"/>
            </w:pPr>
            <w:r w:rsidRPr="004149CE">
              <w:t>earthing principles and devices</w:t>
            </w:r>
          </w:p>
          <w:p w:rsidR="00000000" w:rsidRPr="004149CE" w:rsidP="004149CE">
            <w:pPr>
              <w:pStyle w:val="ListBullet2"/>
            </w:pPr>
            <w:r w:rsidRPr="004149CE">
              <w:t>fault current control/limitation using neutral earthing compensators (NEC</w:t>
            </w:r>
            <w:r>
              <w:t>’</w:t>
            </w:r>
            <w:r w:rsidRPr="004149CE">
              <w:t>s), neutral point earth impedances, high conductivity shield wires and parallel feed interlocking</w:t>
            </w:r>
          </w:p>
          <w:p w:rsidR="00000000" w:rsidRPr="004149CE" w:rsidP="004149CE">
            <w:pPr>
              <w:pStyle w:val="ListBullet2"/>
            </w:pPr>
            <w:r w:rsidRPr="004149CE">
              <w:t>application of different types of protection.</w:t>
            </w:r>
          </w:p>
        </w:tc>
      </w:tr>
    </w:tbl>
    <w:p w:rsidR="00000000" w:rsidRPr="004149CE" w:rsidP="004149CE">
      <w:pPr>
        <w:pStyle w:val="NoPaddingFontSize1"/>
      </w:pPr>
    </w:p>
    <w:p w:rsidR="00000000" w:rsidRPr="004149CE" w:rsidP="004149CE">
      <w:pPr>
        <w:pStyle w:val="AllowPageBreak"/>
      </w:pPr>
    </w:p>
    <w:p w:rsidR="00000000" w:rsidRPr="004149CE" w:rsidP="004149CE">
      <w:pPr>
        <w:pStyle w:val="Heading1"/>
      </w:pPr>
      <w:bookmarkStart w:id="4" w:name="O_1003719"/>
      <w:bookmarkEnd w:id="4"/>
      <w:r w:rsidRPr="004149CE">
        <w:t>Assessment Conditions</w:t>
      </w:r>
    </w:p>
    <w:tbl>
      <w:tblPr>
        <w:tblW w:w="9497" w:type="dxa"/>
        <w:tblLayout w:type="fixed"/>
        <w:tblCellMar>
          <w:left w:w="62" w:type="dxa"/>
          <w:right w:w="62" w:type="dxa"/>
        </w:tblCellMar>
        <w:tblLook w:val="0000"/>
      </w:tblPr>
      <w:tblGrid>
        <w:gridCol w:w="9497"/>
      </w:tblGrid>
      <w:tr w:rsidTr="004149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9CE" w:rsidP="004149CE">
            <w:pPr>
              <w:pStyle w:val="BodyText"/>
            </w:pPr>
            <w:r w:rsidRPr="004149CE">
              <w:t>Assessors must hold credentials specified within the Standards for Registered Training Organisations current at the time of assessment.</w:t>
            </w:r>
          </w:p>
          <w:p w:rsidR="00000000" w:rsidRPr="004149CE" w:rsidP="004149CE">
            <w:pPr>
              <w:pStyle w:val="BodyText"/>
            </w:pPr>
            <w:r w:rsidRPr="004149CE">
              <w:t>Assessment must satisfy the Pri</w:t>
            </w:r>
            <w:r w:rsidRPr="004149CE">
              <w:t>nciples of Assessment and Rules of Evidence and all regulatory requirements included within the Standards for Registered Training Organisations current at the time of assessment.</w:t>
            </w:r>
          </w:p>
          <w:p w:rsidR="00000000" w:rsidRPr="004149CE" w:rsidP="004149CE">
            <w:pPr>
              <w:pStyle w:val="BodyText"/>
            </w:pPr>
            <w:r w:rsidRPr="004149CE">
              <w:t>Assessment must occur in workplace operational situations where it is appropr</w:t>
            </w:r>
            <w:r w:rsidRPr="004149CE">
              <w:t>iate to do so; where this is not appropriate, assessment must occur in simulated conditions involving realistic and authentic activities that replicate operational workplace conditions.</w:t>
            </w:r>
          </w:p>
          <w:p w:rsidR="00000000" w:rsidRPr="004149CE" w:rsidP="004149CE">
            <w:pPr>
              <w:pStyle w:val="BodyText"/>
            </w:pPr>
            <w:r w:rsidRPr="004149CE">
              <w:t>Assessment processes and techniques must be appropriate to the languag</w:t>
            </w:r>
            <w:r w:rsidRPr="004149CE">
              <w:t>e, literacy and numeracy requirements of the work being performed and the needs of the candidate.</w:t>
            </w:r>
          </w:p>
          <w:p w:rsidR="00000000" w:rsidRPr="004149CE" w:rsidP="004149CE">
            <w:pPr>
              <w:pStyle w:val="BodyText"/>
            </w:pPr>
            <w:r w:rsidRPr="004149CE">
              <w:t>Resources for assessment must include access to:</w:t>
            </w:r>
          </w:p>
          <w:p w:rsidR="00000000" w:rsidRPr="004149CE" w:rsidP="004149CE">
            <w:pPr>
              <w:pStyle w:val="ListBullet"/>
            </w:pPr>
            <w:r w:rsidRPr="004149CE">
              <w:t>a range of relevant exercises, case studies and/or other simulations</w:t>
            </w:r>
          </w:p>
          <w:p w:rsidR="00000000" w:rsidRPr="004149CE" w:rsidP="004149CE">
            <w:pPr>
              <w:pStyle w:val="ListBullet"/>
            </w:pPr>
            <w:r w:rsidRPr="004149CE">
              <w:t>relevant and appropriate materials, tools, facilities, equipment and personal protective equipment (PPE) currently used in industry</w:t>
            </w:r>
          </w:p>
          <w:p w:rsidR="00000000" w:rsidRPr="004149CE" w:rsidP="004149CE">
            <w:pPr>
              <w:pStyle w:val="ListBullet"/>
            </w:pPr>
            <w:r w:rsidRPr="004149CE">
              <w:t>applicable documentation, including workplace procedures, relevant industry standards, equipment specifications, regulations</w:t>
            </w:r>
            <w:r w:rsidRPr="004149CE">
              <w:t>, codes of practice and operation manuals.</w:t>
            </w:r>
          </w:p>
        </w:tc>
      </w:tr>
    </w:tbl>
    <w:p w:rsidR="00000000" w:rsidRPr="004149CE" w:rsidP="004149CE">
      <w:pPr>
        <w:pStyle w:val="NoPaddingFontSize1"/>
      </w:pPr>
    </w:p>
    <w:p w:rsidR="00000000" w:rsidRPr="004149CE" w:rsidP="004149CE">
      <w:pPr>
        <w:pStyle w:val="AllowPageBreak"/>
      </w:pPr>
    </w:p>
    <w:p w:rsidR="00000000" w:rsidRPr="004149CE" w:rsidP="004149CE">
      <w:pPr>
        <w:pStyle w:val="Heading1"/>
      </w:pPr>
      <w:bookmarkStart w:id="5" w:name="O_1003722"/>
      <w:bookmarkEnd w:id="5"/>
      <w:r w:rsidRPr="004149CE">
        <w:t>Links</w:t>
      </w:r>
    </w:p>
    <w:p w:rsidR="00000000" w:rsidRPr="004149CE" w:rsidP="00BB5687">
      <w:pPr>
        <w:pStyle w:val="BodyText"/>
      </w:pPr>
      <w:r w:rsidRPr="004149C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B364A">
        <w:rPr>
          <w:rStyle w:val="Hyperlink"/>
        </w:rPr>
        <w:t>https://vetnet.gov.au/Pages/TrainingDocs.aspx?q=229bace1-b7bc-4653-9300-dffb13ecfad7</w:t>
      </w:r>
      <w:r>
        <w:fldChar w:fldCharType="end"/>
      </w:r>
    </w:p>
    <w:p w:rsidR="00000000" w:rsidRPr="004149CE" w:rsidP="004149CE"/>
    <w:sectPr w:rsidSect="004149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9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9CE" w:rsidRPr="00BB5687" w:rsidP="00BB56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9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87" w:rsidP="004149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9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49CE" w:rsidRPr="00BB5687" w:rsidP="00BB56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9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87" w:rsidRPr="002D2AF8" w:rsidP="004149CE">
    <w:pPr>
      <w:pStyle w:val="Header"/>
      <w:framePr w:wrap="around"/>
    </w:pPr>
    <w:r>
      <w:fldChar w:fldCharType="begin"/>
    </w:r>
    <w:r>
      <w:instrText xml:space="preserve"> TITLE   \* MERGEFORMAT </w:instrText>
    </w:r>
    <w:r>
      <w:fldChar w:fldCharType="separate"/>
    </w:r>
    <w:r>
      <w:t>Assessment Requirements for UETTDRIS69 Diagnose and rectify faults in energy supply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BB5687" w:rsidP="004149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F68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289F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1AFD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9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9CE"/>
    <w:pPr>
      <w:spacing w:before="360" w:after="60"/>
      <w:outlineLvl w:val="0"/>
    </w:pPr>
    <w:rPr>
      <w:sz w:val="32"/>
    </w:rPr>
  </w:style>
  <w:style w:type="paragraph" w:styleId="Heading2">
    <w:name w:val="heading 2"/>
    <w:basedOn w:val="HeadingBase"/>
    <w:next w:val="BodyText"/>
    <w:link w:val="Heading2Char"/>
    <w:qFormat/>
    <w:rsid w:val="004149CE"/>
    <w:pPr>
      <w:keepLines/>
      <w:spacing w:before="240" w:after="120"/>
      <w:outlineLvl w:val="1"/>
    </w:pPr>
    <w:rPr>
      <w:sz w:val="28"/>
      <w:szCs w:val="40"/>
    </w:rPr>
  </w:style>
  <w:style w:type="paragraph" w:styleId="Heading3">
    <w:name w:val="heading 3"/>
    <w:basedOn w:val="HeadingBase"/>
    <w:next w:val="BodyText"/>
    <w:link w:val="Heading3Char"/>
    <w:qFormat/>
    <w:rsid w:val="004149CE"/>
    <w:pPr>
      <w:spacing w:before="180" w:after="120"/>
      <w:outlineLvl w:val="2"/>
    </w:pPr>
    <w:rPr>
      <w:spacing w:val="-10"/>
      <w:kern w:val="32"/>
    </w:rPr>
  </w:style>
  <w:style w:type="paragraph" w:styleId="Heading4">
    <w:name w:val="heading 4"/>
    <w:basedOn w:val="HeadingBase"/>
    <w:next w:val="BodyText"/>
    <w:link w:val="Heading4Char"/>
    <w:qFormat/>
    <w:rsid w:val="004149CE"/>
    <w:pPr>
      <w:spacing w:before="160" w:after="120"/>
      <w:outlineLvl w:val="3"/>
    </w:pPr>
    <w:rPr>
      <w:sz w:val="22"/>
    </w:rPr>
  </w:style>
  <w:style w:type="paragraph" w:styleId="Heading5">
    <w:name w:val="heading 5"/>
    <w:basedOn w:val="HeadingBase"/>
    <w:next w:val="Normal"/>
    <w:link w:val="Heading5Char"/>
    <w:qFormat/>
    <w:rsid w:val="004149CE"/>
    <w:pPr>
      <w:spacing w:before="80"/>
      <w:outlineLvl w:val="4"/>
    </w:pPr>
    <w:rPr>
      <w:color w:val="918585"/>
      <w:sz w:val="20"/>
    </w:rPr>
  </w:style>
  <w:style w:type="paragraph" w:styleId="Heading6">
    <w:name w:val="heading 6"/>
    <w:basedOn w:val="HeadingBase"/>
    <w:next w:val="Normal"/>
    <w:link w:val="Heading6Char"/>
    <w:qFormat/>
    <w:rsid w:val="004149CE"/>
    <w:pPr>
      <w:spacing w:before="60"/>
      <w:outlineLvl w:val="5"/>
    </w:pPr>
    <w:rPr>
      <w:color w:val="918585"/>
      <w:sz w:val="20"/>
    </w:rPr>
  </w:style>
  <w:style w:type="paragraph" w:styleId="Heading7">
    <w:name w:val="heading 7"/>
    <w:basedOn w:val="Normal"/>
    <w:next w:val="Normal"/>
    <w:link w:val="Heading7Char"/>
    <w:qFormat/>
    <w:rsid w:val="004149CE"/>
    <w:pPr>
      <w:ind w:left="720"/>
      <w:outlineLvl w:val="6"/>
    </w:pPr>
    <w:rPr>
      <w:i/>
    </w:rPr>
  </w:style>
  <w:style w:type="paragraph" w:styleId="Heading8">
    <w:name w:val="heading 8"/>
    <w:basedOn w:val="Normal"/>
    <w:next w:val="Normal"/>
    <w:link w:val="Heading8Char"/>
    <w:qFormat/>
    <w:rsid w:val="004149CE"/>
    <w:pPr>
      <w:ind w:left="720"/>
      <w:outlineLvl w:val="7"/>
    </w:pPr>
    <w:rPr>
      <w:i/>
    </w:rPr>
  </w:style>
  <w:style w:type="paragraph" w:styleId="Heading9">
    <w:name w:val="heading 9"/>
    <w:basedOn w:val="Normal"/>
    <w:next w:val="Normal"/>
    <w:link w:val="Heading9Char"/>
    <w:qFormat/>
    <w:rsid w:val="004149CE"/>
    <w:pPr>
      <w:ind w:left="720"/>
      <w:outlineLvl w:val="8"/>
    </w:pPr>
    <w:rPr>
      <w:i/>
    </w:rPr>
  </w:style>
  <w:style w:type="character" w:default="1" w:styleId="DefaultParagraphFont">
    <w:name w:val="Default Paragraph Font"/>
    <w:uiPriority w:val="1"/>
    <w:unhideWhenUsed/>
    <w:rsid w:val="004149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9CE"/>
  </w:style>
  <w:style w:type="character" w:customStyle="1" w:styleId="Heading1Char">
    <w:name w:val="Heading 1 Char"/>
    <w:basedOn w:val="DefaultParagraphFont"/>
    <w:link w:val="Heading1"/>
    <w:rsid w:val="004149CE"/>
    <w:rPr>
      <w:rFonts w:ascii="Times New Roman" w:eastAsia="Times New Roman" w:hAnsi="Times New Roman" w:cs="Times New Roman"/>
      <w:b/>
      <w:sz w:val="32"/>
      <w:szCs w:val="20"/>
      <w:lang w:eastAsia="en-US"/>
    </w:rPr>
  </w:style>
  <w:style w:type="paragraph" w:styleId="BodyText">
    <w:name w:val="Body Text"/>
    <w:basedOn w:val="Normal"/>
    <w:link w:val="BodyTextChar"/>
    <w:rsid w:val="004149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49CE"/>
    <w:rPr>
      <w:rFonts w:ascii="Times New Roman" w:eastAsia="Times New Roman" w:hAnsi="Times New Roman" w:cs="Times New Roman"/>
      <w:sz w:val="24"/>
      <w:lang w:eastAsia="en-US"/>
    </w:rPr>
  </w:style>
  <w:style w:type="paragraph" w:styleId="ListBullet">
    <w:name w:val="List Bullet"/>
    <w:basedOn w:val="List"/>
    <w:rsid w:val="004149CE"/>
    <w:pPr>
      <w:numPr>
        <w:numId w:val="12"/>
      </w:numPr>
      <w:tabs>
        <w:tab w:val="clear" w:pos="340"/>
      </w:tabs>
      <w:spacing w:before="40" w:after="40"/>
    </w:pPr>
  </w:style>
  <w:style w:type="paragraph" w:styleId="ListBullet2">
    <w:name w:val="List Bullet 2"/>
    <w:basedOn w:val="List2"/>
    <w:rsid w:val="004149CE"/>
    <w:pPr>
      <w:numPr>
        <w:numId w:val="13"/>
      </w:numPr>
      <w:tabs>
        <w:tab w:val="clear" w:pos="680"/>
      </w:tabs>
    </w:pPr>
  </w:style>
  <w:style w:type="paragraph" w:customStyle="1" w:styleId="SuperHeading">
    <w:name w:val="SuperHeading"/>
    <w:basedOn w:val="Normal"/>
    <w:rsid w:val="004149CE"/>
    <w:pPr>
      <w:spacing w:before="240" w:after="120"/>
      <w:outlineLvl w:val="0"/>
    </w:pPr>
    <w:rPr>
      <w:rFonts w:ascii="Times New Roman" w:hAnsi="Times New Roman"/>
      <w:b/>
      <w:sz w:val="32"/>
    </w:rPr>
  </w:style>
  <w:style w:type="paragraph" w:customStyle="1" w:styleId="AllowPageBreak">
    <w:name w:val="AllowPageBreak"/>
    <w:rsid w:val="004149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49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9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9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9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9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9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9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9CE"/>
    <w:rPr>
      <w:rFonts w:ascii="Courier New" w:eastAsia="Times New Roman" w:hAnsi="Courier New" w:cs="Times New Roman"/>
      <w:i/>
      <w:szCs w:val="20"/>
      <w:lang w:eastAsia="en-US"/>
    </w:rPr>
  </w:style>
  <w:style w:type="paragraph" w:customStyle="1" w:styleId="HeadingBase">
    <w:name w:val="Heading Base"/>
    <w:rsid w:val="004149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9CE"/>
    <w:pPr>
      <w:tabs>
        <w:tab w:val="right" w:leader="dot" w:pos="9072"/>
      </w:tabs>
      <w:ind w:left="567"/>
    </w:pPr>
    <w:rPr>
      <w:szCs w:val="22"/>
    </w:rPr>
  </w:style>
  <w:style w:type="paragraph" w:customStyle="1" w:styleId="TOCBase">
    <w:name w:val="TOC Base"/>
    <w:rsid w:val="004149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9CE"/>
    <w:pPr>
      <w:tabs>
        <w:tab w:val="right" w:leader="dot" w:pos="9072"/>
      </w:tabs>
      <w:spacing w:before="40" w:after="40"/>
      <w:ind w:left="284"/>
    </w:pPr>
    <w:rPr>
      <w:rFonts w:ascii="Times New Roman" w:hAnsi="Times New Roman"/>
    </w:rPr>
  </w:style>
  <w:style w:type="paragraph" w:styleId="TOC1">
    <w:name w:val="toc 1"/>
    <w:basedOn w:val="TOCBase"/>
    <w:next w:val="Normal"/>
    <w:rsid w:val="004149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9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9CE"/>
    <w:rPr>
      <w:rFonts w:ascii="Times New Roman" w:eastAsia="Times New Roman" w:hAnsi="Times New Roman" w:cs="Times New Roman"/>
      <w:sz w:val="16"/>
      <w:lang w:eastAsia="en-US"/>
    </w:rPr>
  </w:style>
  <w:style w:type="paragraph" w:styleId="Title">
    <w:name w:val="Title"/>
    <w:basedOn w:val="HeadingBase"/>
    <w:link w:val="TitleChar"/>
    <w:qFormat/>
    <w:rsid w:val="004149CE"/>
    <w:pPr>
      <w:spacing w:before="5040"/>
      <w:jc w:val="center"/>
    </w:pPr>
    <w:rPr>
      <w:sz w:val="48"/>
      <w:szCs w:val="72"/>
      <w:lang w:val="en-US"/>
    </w:rPr>
  </w:style>
  <w:style w:type="character" w:customStyle="1" w:styleId="TitleChar">
    <w:name w:val="Title Char"/>
    <w:basedOn w:val="DefaultParagraphFont"/>
    <w:link w:val="Title"/>
    <w:rsid w:val="004149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9CE"/>
    <w:pPr>
      <w:tabs>
        <w:tab w:val="left" w:pos="3600"/>
        <w:tab w:val="left" w:pos="3958"/>
      </w:tabs>
    </w:pPr>
  </w:style>
  <w:style w:type="paragraph" w:styleId="List">
    <w:name w:val="List"/>
    <w:basedOn w:val="BodyText"/>
    <w:next w:val="BodyText"/>
    <w:rsid w:val="004149CE"/>
    <w:pPr>
      <w:tabs>
        <w:tab w:val="left" w:pos="340"/>
      </w:tabs>
      <w:spacing w:before="60" w:after="60"/>
      <w:ind w:left="340" w:hanging="340"/>
    </w:pPr>
  </w:style>
  <w:style w:type="paragraph" w:customStyle="1" w:styleId="Note">
    <w:name w:val="Note"/>
    <w:basedOn w:val="BodyText"/>
    <w:rsid w:val="004149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49CE"/>
    <w:rPr>
      <w:b/>
      <w:spacing w:val="0"/>
    </w:rPr>
  </w:style>
  <w:style w:type="paragraph" w:customStyle="1" w:styleId="SuperTitle">
    <w:name w:val="SuperTitle"/>
    <w:basedOn w:val="Title"/>
    <w:rsid w:val="004149CE"/>
    <w:pPr>
      <w:framePr w:wrap="auto" w:hAnchor="text" w:y="6049"/>
    </w:pPr>
    <w:rPr>
      <w:color w:val="000000"/>
      <w:sz w:val="40"/>
    </w:rPr>
  </w:style>
  <w:style w:type="paragraph" w:customStyle="1" w:styleId="TOCTitle">
    <w:name w:val="TOCTitle"/>
    <w:basedOn w:val="Heading1"/>
    <w:rsid w:val="004149CE"/>
    <w:pPr>
      <w:spacing w:after="240"/>
      <w:jc w:val="center"/>
      <w:outlineLvl w:val="9"/>
    </w:pPr>
    <w:rPr>
      <w:caps/>
    </w:rPr>
  </w:style>
  <w:style w:type="paragraph" w:customStyle="1" w:styleId="Version">
    <w:name w:val="Version"/>
    <w:rsid w:val="004149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49CE"/>
    <w:pPr>
      <w:keepNext w:val="0"/>
      <w:tabs>
        <w:tab w:val="right" w:pos="4176"/>
      </w:tabs>
      <w:ind w:left="198" w:hanging="198"/>
    </w:pPr>
    <w:rPr>
      <w:rFonts w:ascii="Garamond" w:hAnsi="Garamond"/>
    </w:rPr>
  </w:style>
  <w:style w:type="paragraph" w:styleId="IndexHeading">
    <w:name w:val="index heading"/>
    <w:basedOn w:val="Normal"/>
    <w:next w:val="Index1"/>
    <w:semiHidden/>
    <w:rsid w:val="004149CE"/>
    <w:pPr>
      <w:spacing w:before="120" w:after="120"/>
    </w:pPr>
    <w:rPr>
      <w:rFonts w:ascii="Arial" w:hAnsi="Arial"/>
      <w:b/>
      <w:color w:val="918585"/>
      <w:sz w:val="24"/>
    </w:rPr>
  </w:style>
  <w:style w:type="paragraph" w:styleId="Header">
    <w:name w:val="header"/>
    <w:basedOn w:val="Normal"/>
    <w:link w:val="HeaderChar"/>
    <w:rsid w:val="004149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9CE"/>
    <w:rPr>
      <w:rFonts w:ascii="Times New Roman" w:eastAsia="Times New Roman" w:hAnsi="Times New Roman" w:cs="Times New Roman"/>
      <w:sz w:val="16"/>
      <w:szCs w:val="20"/>
      <w:lang w:val="en-GB" w:eastAsia="en-US"/>
    </w:rPr>
  </w:style>
  <w:style w:type="paragraph" w:customStyle="1" w:styleId="Chapter">
    <w:name w:val="Chapter"/>
    <w:basedOn w:val="Normal"/>
    <w:rsid w:val="004149CE"/>
    <w:pPr>
      <w:spacing w:before="240"/>
    </w:pPr>
    <w:rPr>
      <w:rFonts w:ascii="Times New Roman" w:hAnsi="Times New Roman"/>
      <w:smallCaps/>
      <w:spacing w:val="80"/>
      <w:sz w:val="28"/>
    </w:rPr>
  </w:style>
  <w:style w:type="paragraph" w:customStyle="1" w:styleId="InChapter">
    <w:name w:val="InChapter"/>
    <w:basedOn w:val="Heading3"/>
    <w:rsid w:val="004149CE"/>
    <w:pPr>
      <w:spacing w:after="240"/>
      <w:outlineLvl w:val="9"/>
    </w:pPr>
    <w:rPr>
      <w:noProof/>
    </w:rPr>
  </w:style>
  <w:style w:type="paragraph" w:styleId="Index2">
    <w:name w:val="index 2"/>
    <w:basedOn w:val="Normal"/>
    <w:next w:val="Normal"/>
    <w:semiHidden/>
    <w:rsid w:val="004149CE"/>
    <w:pPr>
      <w:tabs>
        <w:tab w:val="right" w:pos="4176"/>
      </w:tabs>
      <w:ind w:left="568" w:hanging="284"/>
    </w:pPr>
    <w:rPr>
      <w:rFonts w:ascii="Garamond" w:hAnsi="Garamond"/>
    </w:rPr>
  </w:style>
  <w:style w:type="paragraph" w:customStyle="1" w:styleId="Byline">
    <w:name w:val="Byline"/>
    <w:rsid w:val="004149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9CE"/>
    <w:pPr>
      <w:tabs>
        <w:tab w:val="clear" w:pos="3600"/>
        <w:tab w:val="clear" w:pos="3958"/>
      </w:tabs>
      <w:jc w:val="right"/>
    </w:pPr>
  </w:style>
  <w:style w:type="character" w:styleId="Emphasis">
    <w:name w:val="Emphasis"/>
    <w:basedOn w:val="DefaultParagraphFont"/>
    <w:qFormat/>
    <w:rsid w:val="004149CE"/>
    <w:rPr>
      <w:i/>
    </w:rPr>
  </w:style>
  <w:style w:type="paragraph" w:styleId="Caption">
    <w:name w:val="caption"/>
    <w:basedOn w:val="BodyText"/>
    <w:next w:val="Normal"/>
    <w:qFormat/>
    <w:rsid w:val="004149CE"/>
    <w:pPr>
      <w:framePr w:w="2268" w:hSpace="181" w:vSpace="181" w:wrap="around" w:vAnchor="text" w:hAnchor="page" w:x="1135" w:y="285" w:anchorLock="1"/>
    </w:pPr>
    <w:rPr>
      <w:i/>
    </w:rPr>
  </w:style>
  <w:style w:type="paragraph" w:customStyle="1" w:styleId="MiniTOCTitle">
    <w:name w:val="MiniTOCTitle"/>
    <w:basedOn w:val="Heading4"/>
    <w:rsid w:val="004149CE"/>
    <w:pPr>
      <w:spacing w:before="240"/>
      <w:outlineLvl w:val="9"/>
    </w:pPr>
    <w:rPr>
      <w:noProof/>
      <w:sz w:val="24"/>
    </w:rPr>
  </w:style>
  <w:style w:type="paragraph" w:customStyle="1" w:styleId="MiniTOCItem">
    <w:name w:val="MiniTOCItem"/>
    <w:basedOn w:val="ListBullet"/>
    <w:rsid w:val="004149CE"/>
    <w:pPr>
      <w:numPr>
        <w:numId w:val="0"/>
      </w:numPr>
      <w:tabs>
        <w:tab w:val="right" w:leader="dot" w:pos="6521"/>
      </w:tabs>
      <w:spacing w:before="0" w:after="0"/>
    </w:pPr>
  </w:style>
  <w:style w:type="paragraph" w:customStyle="1" w:styleId="TOFTitle">
    <w:name w:val="TOFTitle"/>
    <w:basedOn w:val="TOCTitle"/>
    <w:rsid w:val="004149CE"/>
  </w:style>
  <w:style w:type="paragraph" w:styleId="TableofFigures">
    <w:name w:val="table of figures"/>
    <w:basedOn w:val="Normal"/>
    <w:next w:val="Normal"/>
    <w:semiHidden/>
    <w:rsid w:val="004149CE"/>
    <w:pPr>
      <w:tabs>
        <w:tab w:val="right" w:leader="dot" w:pos="9072"/>
      </w:tabs>
      <w:ind w:left="970" w:hanging="403"/>
    </w:pPr>
    <w:rPr>
      <w:rFonts w:ascii="Times New Roman" w:hAnsi="Times New Roman"/>
      <w:b/>
    </w:rPr>
  </w:style>
  <w:style w:type="paragraph" w:styleId="ListNumber">
    <w:name w:val="List Number"/>
    <w:basedOn w:val="List"/>
    <w:rsid w:val="004149CE"/>
    <w:pPr>
      <w:numPr>
        <w:numId w:val="15"/>
      </w:numPr>
      <w:tabs>
        <w:tab w:val="clear" w:pos="340"/>
      </w:tabs>
    </w:pPr>
  </w:style>
  <w:style w:type="character" w:customStyle="1" w:styleId="WingdingSymbols">
    <w:name w:val="Wingding Symbols"/>
    <w:rsid w:val="004149CE"/>
    <w:rPr>
      <w:rFonts w:ascii="Wingdings" w:hAnsi="Wingdings"/>
    </w:rPr>
  </w:style>
  <w:style w:type="paragraph" w:customStyle="1" w:styleId="TableHeading">
    <w:name w:val="Table Heading"/>
    <w:basedOn w:val="HeadingBase"/>
    <w:rsid w:val="004149CE"/>
    <w:pPr>
      <w:keepLines/>
      <w:pBdr>
        <w:bottom w:val="single" w:sz="6" w:space="1" w:color="918585"/>
      </w:pBdr>
      <w:spacing w:before="240"/>
    </w:pPr>
  </w:style>
  <w:style w:type="character" w:customStyle="1" w:styleId="HotSpot">
    <w:name w:val="HotSpot"/>
    <w:rsid w:val="004149CE"/>
    <w:rPr>
      <w:color w:val="0033CC"/>
      <w:u w:val="none"/>
    </w:rPr>
  </w:style>
  <w:style w:type="paragraph" w:customStyle="1" w:styleId="BodyTextRight">
    <w:name w:val="Body Text Right"/>
    <w:basedOn w:val="BodyText"/>
    <w:rsid w:val="004149CE"/>
    <w:pPr>
      <w:spacing w:before="0" w:after="0"/>
      <w:jc w:val="right"/>
    </w:pPr>
  </w:style>
  <w:style w:type="paragraph" w:styleId="Index3">
    <w:name w:val="index 3"/>
    <w:basedOn w:val="ListNumber2"/>
    <w:next w:val="Normal"/>
    <w:semiHidden/>
    <w:rsid w:val="004149CE"/>
    <w:pPr>
      <w:numPr>
        <w:numId w:val="0"/>
      </w:numPr>
      <w:tabs>
        <w:tab w:val="right" w:leader="dot" w:pos="4176"/>
      </w:tabs>
    </w:pPr>
  </w:style>
  <w:style w:type="paragraph" w:styleId="ListNumber2">
    <w:name w:val="List Number 2"/>
    <w:basedOn w:val="List2"/>
    <w:rsid w:val="004149CE"/>
    <w:pPr>
      <w:numPr>
        <w:numId w:val="10"/>
      </w:numPr>
      <w:tabs>
        <w:tab w:val="clear" w:pos="1060"/>
      </w:tabs>
    </w:pPr>
  </w:style>
  <w:style w:type="paragraph" w:customStyle="1" w:styleId="MarginNote">
    <w:name w:val="Margin Note"/>
    <w:basedOn w:val="BodyText"/>
    <w:rsid w:val="004149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9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9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9CE"/>
    <w:rPr>
      <w:sz w:val="32"/>
    </w:rPr>
  </w:style>
  <w:style w:type="paragraph" w:customStyle="1" w:styleId="HeadingProcedure">
    <w:name w:val="Heading Procedure"/>
    <w:basedOn w:val="HeadingBase"/>
    <w:next w:val="Normal"/>
    <w:rsid w:val="004149CE"/>
    <w:pPr>
      <w:tabs>
        <w:tab w:val="left" w:pos="0"/>
      </w:tabs>
      <w:spacing w:before="120" w:after="60"/>
    </w:pPr>
    <w:rPr>
      <w:i/>
      <w:color w:val="918585"/>
      <w:sz w:val="22"/>
    </w:rPr>
  </w:style>
  <w:style w:type="paragraph" w:customStyle="1" w:styleId="TableBodyText">
    <w:name w:val="Table Body Text"/>
    <w:basedOn w:val="BodyText"/>
    <w:rsid w:val="004149CE"/>
    <w:pPr>
      <w:spacing w:before="60" w:after="60"/>
    </w:pPr>
  </w:style>
  <w:style w:type="paragraph" w:styleId="ListContinue">
    <w:name w:val="List Continue"/>
    <w:basedOn w:val="List"/>
    <w:rsid w:val="004149CE"/>
    <w:pPr>
      <w:ind w:firstLine="0"/>
    </w:pPr>
  </w:style>
  <w:style w:type="paragraph" w:customStyle="1" w:styleId="ListNote">
    <w:name w:val="List Note"/>
    <w:basedOn w:val="List"/>
    <w:rsid w:val="004149CE"/>
    <w:pPr>
      <w:pBdr>
        <w:top w:val="single" w:sz="6" w:space="2" w:color="918585"/>
        <w:bottom w:val="single" w:sz="6" w:space="2" w:color="918585"/>
      </w:pBdr>
      <w:tabs>
        <w:tab w:val="left" w:pos="1021"/>
      </w:tabs>
      <w:ind w:firstLine="0"/>
    </w:pPr>
  </w:style>
  <w:style w:type="paragraph" w:customStyle="1" w:styleId="Warning">
    <w:name w:val="Warning"/>
    <w:basedOn w:val="BodyText"/>
    <w:rsid w:val="004149CE"/>
    <w:pPr>
      <w:shd w:val="clear" w:color="auto" w:fill="D9D9D9"/>
      <w:tabs>
        <w:tab w:val="left" w:pos="992"/>
      </w:tabs>
      <w:ind w:left="119" w:right="119"/>
    </w:pPr>
    <w:rPr>
      <w:sz w:val="20"/>
    </w:rPr>
  </w:style>
  <w:style w:type="paragraph" w:customStyle="1" w:styleId="MarginIcons">
    <w:name w:val="Margin Icons"/>
    <w:basedOn w:val="BodyText"/>
    <w:rsid w:val="004149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9CE"/>
    <w:rPr>
      <w:rFonts w:ascii="Courier New" w:hAnsi="Courier New"/>
    </w:rPr>
  </w:style>
  <w:style w:type="paragraph" w:customStyle="1" w:styleId="NoteBullet">
    <w:name w:val="Note Bullet"/>
    <w:basedOn w:val="Note"/>
    <w:rsid w:val="004149CE"/>
    <w:pPr>
      <w:tabs>
        <w:tab w:val="clear" w:pos="680"/>
      </w:tabs>
      <w:spacing w:before="60" w:after="60"/>
    </w:pPr>
  </w:style>
  <w:style w:type="paragraph" w:customStyle="1" w:styleId="SubHeading2">
    <w:name w:val="SubHeading2"/>
    <w:basedOn w:val="HeadingBase"/>
    <w:rsid w:val="004149CE"/>
    <w:pPr>
      <w:spacing w:before="240" w:after="60"/>
    </w:pPr>
    <w:rPr>
      <w:sz w:val="20"/>
    </w:rPr>
  </w:style>
  <w:style w:type="paragraph" w:customStyle="1" w:styleId="SubHeading1">
    <w:name w:val="SubHeading1"/>
    <w:basedOn w:val="HeadingBase"/>
    <w:rsid w:val="004149CE"/>
    <w:pPr>
      <w:spacing w:before="240" w:after="60"/>
    </w:pPr>
    <w:rPr>
      <w:color w:val="918585"/>
      <w:sz w:val="22"/>
    </w:rPr>
  </w:style>
  <w:style w:type="paragraph" w:customStyle="1" w:styleId="SideHeading">
    <w:name w:val="Side Heading"/>
    <w:basedOn w:val="HeadingBase"/>
    <w:rsid w:val="004149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9CE"/>
    <w:pPr>
      <w:tabs>
        <w:tab w:val="num" w:pos="360"/>
      </w:tabs>
    </w:pPr>
  </w:style>
  <w:style w:type="paragraph" w:styleId="PlainText">
    <w:name w:val="Plain Text"/>
    <w:basedOn w:val="Normal"/>
    <w:link w:val="PlainTextChar"/>
    <w:rsid w:val="004149CE"/>
    <w:rPr>
      <w:sz w:val="20"/>
    </w:rPr>
  </w:style>
  <w:style w:type="character" w:customStyle="1" w:styleId="PlainTextChar">
    <w:name w:val="Plain Text Char"/>
    <w:basedOn w:val="DefaultParagraphFont"/>
    <w:link w:val="PlainText"/>
    <w:rsid w:val="004149CE"/>
    <w:rPr>
      <w:rFonts w:ascii="Courier New" w:eastAsia="Times New Roman" w:hAnsi="Courier New" w:cs="Times New Roman"/>
      <w:sz w:val="20"/>
      <w:szCs w:val="20"/>
      <w:lang w:eastAsia="en-US"/>
    </w:rPr>
  </w:style>
  <w:style w:type="character" w:customStyle="1" w:styleId="MenuOption">
    <w:name w:val="Menu Option"/>
    <w:basedOn w:val="DefaultParagraphFont"/>
    <w:rsid w:val="004149CE"/>
    <w:rPr>
      <w:b/>
      <w:smallCaps/>
    </w:rPr>
  </w:style>
  <w:style w:type="paragraph" w:customStyle="1" w:styleId="TableListNumber">
    <w:name w:val="Table List Number"/>
    <w:basedOn w:val="ListNumber"/>
    <w:rsid w:val="004149CE"/>
    <w:pPr>
      <w:numPr>
        <w:numId w:val="0"/>
      </w:numPr>
    </w:pPr>
  </w:style>
  <w:style w:type="paragraph" w:styleId="TOC4">
    <w:name w:val="toc 4"/>
    <w:basedOn w:val="TOCBase"/>
    <w:next w:val="Normal"/>
    <w:semiHidden/>
    <w:rsid w:val="004149CE"/>
    <w:pPr>
      <w:tabs>
        <w:tab w:val="right" w:leader="dot" w:pos="9071"/>
      </w:tabs>
      <w:ind w:left="1701"/>
    </w:pPr>
  </w:style>
  <w:style w:type="paragraph" w:customStyle="1" w:styleId="ListAlpha">
    <w:name w:val="List Alpha"/>
    <w:basedOn w:val="List"/>
    <w:rsid w:val="004149CE"/>
    <w:pPr>
      <w:numPr>
        <w:numId w:val="9"/>
      </w:numPr>
    </w:pPr>
  </w:style>
  <w:style w:type="paragraph" w:customStyle="1" w:styleId="ListAlpha2">
    <w:name w:val="List Alpha 2"/>
    <w:basedOn w:val="List2"/>
    <w:rsid w:val="004149CE"/>
    <w:pPr>
      <w:numPr>
        <w:numId w:val="8"/>
      </w:numPr>
    </w:pPr>
  </w:style>
  <w:style w:type="paragraph" w:styleId="List2">
    <w:name w:val="List 2"/>
    <w:basedOn w:val="BodyText"/>
    <w:rsid w:val="004149CE"/>
    <w:pPr>
      <w:tabs>
        <w:tab w:val="left" w:pos="680"/>
      </w:tabs>
      <w:spacing w:before="60" w:after="60"/>
      <w:ind w:left="680" w:hanging="340"/>
    </w:pPr>
  </w:style>
  <w:style w:type="paragraph" w:styleId="List3">
    <w:name w:val="List 3"/>
    <w:basedOn w:val="BodyText"/>
    <w:rsid w:val="004149CE"/>
    <w:pPr>
      <w:tabs>
        <w:tab w:val="left" w:pos="1021"/>
      </w:tabs>
      <w:spacing w:before="60" w:after="60"/>
      <w:ind w:left="1020" w:hanging="340"/>
    </w:pPr>
  </w:style>
  <w:style w:type="paragraph" w:styleId="List4">
    <w:name w:val="List 4"/>
    <w:basedOn w:val="BodyText"/>
    <w:rsid w:val="004149CE"/>
    <w:pPr>
      <w:tabs>
        <w:tab w:val="left" w:pos="1361"/>
      </w:tabs>
      <w:spacing w:before="60" w:after="60"/>
      <w:ind w:left="1361" w:hanging="340"/>
    </w:pPr>
  </w:style>
  <w:style w:type="paragraph" w:styleId="List5">
    <w:name w:val="List 5"/>
    <w:basedOn w:val="BodyText"/>
    <w:rsid w:val="004149CE"/>
    <w:pPr>
      <w:tabs>
        <w:tab w:val="left" w:pos="1701"/>
      </w:tabs>
      <w:spacing w:before="60" w:after="60"/>
      <w:ind w:left="1701" w:hanging="340"/>
    </w:pPr>
  </w:style>
  <w:style w:type="paragraph" w:styleId="ListBullet3">
    <w:name w:val="List Bullet 3"/>
    <w:basedOn w:val="List3"/>
    <w:rsid w:val="004149CE"/>
    <w:pPr>
      <w:numPr>
        <w:numId w:val="14"/>
      </w:numPr>
      <w:tabs>
        <w:tab w:val="clear" w:pos="1021"/>
      </w:tabs>
      <w:ind w:left="1037" w:hanging="357"/>
    </w:pPr>
  </w:style>
  <w:style w:type="paragraph" w:styleId="ListBullet4">
    <w:name w:val="List Bullet 4"/>
    <w:basedOn w:val="List4"/>
    <w:rsid w:val="004149CE"/>
    <w:pPr>
      <w:numPr>
        <w:numId w:val="3"/>
      </w:numPr>
      <w:tabs>
        <w:tab w:val="clear" w:pos="1361"/>
      </w:tabs>
    </w:pPr>
  </w:style>
  <w:style w:type="paragraph" w:styleId="ListBullet5">
    <w:name w:val="List Bullet 5"/>
    <w:basedOn w:val="List5"/>
    <w:rsid w:val="004149CE"/>
    <w:pPr>
      <w:numPr>
        <w:numId w:val="4"/>
      </w:numPr>
    </w:pPr>
  </w:style>
  <w:style w:type="paragraph" w:styleId="ListContinue2">
    <w:name w:val="List Continue 2"/>
    <w:basedOn w:val="List2"/>
    <w:rsid w:val="004149CE"/>
    <w:pPr>
      <w:ind w:firstLine="0"/>
    </w:pPr>
  </w:style>
  <w:style w:type="paragraph" w:styleId="ListContinue3">
    <w:name w:val="List Continue 3"/>
    <w:basedOn w:val="List3"/>
    <w:rsid w:val="004149CE"/>
    <w:pPr>
      <w:ind w:left="1021" w:firstLine="0"/>
    </w:pPr>
  </w:style>
  <w:style w:type="paragraph" w:styleId="ListContinue4">
    <w:name w:val="List Continue 4"/>
    <w:basedOn w:val="List4"/>
    <w:rsid w:val="004149CE"/>
    <w:pPr>
      <w:ind w:firstLine="0"/>
    </w:pPr>
  </w:style>
  <w:style w:type="paragraph" w:styleId="ListContinue5">
    <w:name w:val="List Continue 5"/>
    <w:basedOn w:val="List5"/>
    <w:rsid w:val="004149CE"/>
    <w:pPr>
      <w:ind w:firstLine="0"/>
    </w:pPr>
  </w:style>
  <w:style w:type="paragraph" w:styleId="ListNumber3">
    <w:name w:val="List Number 3"/>
    <w:basedOn w:val="List3"/>
    <w:rsid w:val="004149CE"/>
    <w:pPr>
      <w:numPr>
        <w:numId w:val="5"/>
      </w:numPr>
    </w:pPr>
  </w:style>
  <w:style w:type="paragraph" w:styleId="ListNumber4">
    <w:name w:val="List Number 4"/>
    <w:basedOn w:val="List4"/>
    <w:rsid w:val="004149CE"/>
    <w:pPr>
      <w:numPr>
        <w:numId w:val="6"/>
      </w:numPr>
    </w:pPr>
  </w:style>
  <w:style w:type="paragraph" w:styleId="ListNumber5">
    <w:name w:val="List Number 5"/>
    <w:basedOn w:val="List5"/>
    <w:rsid w:val="004149CE"/>
    <w:pPr>
      <w:numPr>
        <w:numId w:val="7"/>
      </w:numPr>
    </w:pPr>
  </w:style>
  <w:style w:type="paragraph" w:styleId="BlockText">
    <w:name w:val="Block Text"/>
    <w:basedOn w:val="Normal"/>
    <w:rsid w:val="004149CE"/>
    <w:pPr>
      <w:spacing w:after="120"/>
      <w:ind w:left="1440" w:right="1440"/>
    </w:pPr>
  </w:style>
  <w:style w:type="character" w:customStyle="1" w:styleId="Subscript">
    <w:name w:val="Subscript"/>
    <w:basedOn w:val="DefaultParagraphFont"/>
    <w:rsid w:val="004149CE"/>
    <w:rPr>
      <w:sz w:val="16"/>
      <w:vertAlign w:val="subscript"/>
    </w:rPr>
  </w:style>
  <w:style w:type="character" w:customStyle="1" w:styleId="Superscript">
    <w:name w:val="Superscript"/>
    <w:basedOn w:val="DefaultParagraphFont"/>
    <w:rsid w:val="004149CE"/>
    <w:rPr>
      <w:sz w:val="16"/>
      <w:vertAlign w:val="superscript"/>
    </w:rPr>
  </w:style>
  <w:style w:type="character" w:customStyle="1" w:styleId="Symbols">
    <w:name w:val="Symbols"/>
    <w:basedOn w:val="DefaultParagraphFont"/>
    <w:rsid w:val="004149CE"/>
    <w:rPr>
      <w:rFonts w:ascii="Symbol" w:hAnsi="Symbol"/>
    </w:rPr>
  </w:style>
  <w:style w:type="character" w:customStyle="1" w:styleId="MenuOptions">
    <w:name w:val="Menu Options"/>
    <w:basedOn w:val="DefaultParagraphFont"/>
    <w:rsid w:val="004149CE"/>
    <w:rPr>
      <w:rFonts w:ascii="Arial Narrow" w:hAnsi="Arial Narrow"/>
      <w:smallCaps/>
    </w:rPr>
  </w:style>
  <w:style w:type="character" w:customStyle="1" w:styleId="Buttons">
    <w:name w:val="Buttons"/>
    <w:basedOn w:val="DefaultParagraphFont"/>
    <w:rsid w:val="004149CE"/>
    <w:rPr>
      <w:b/>
    </w:rPr>
  </w:style>
  <w:style w:type="character" w:customStyle="1" w:styleId="Underlined">
    <w:name w:val="Underlined"/>
    <w:basedOn w:val="DefaultParagraphFont"/>
    <w:rsid w:val="004149CE"/>
    <w:rPr>
      <w:u w:val="single"/>
    </w:rPr>
  </w:style>
  <w:style w:type="paragraph" w:customStyle="1" w:styleId="TableBodyTextRight">
    <w:name w:val="Table Body Text Right"/>
    <w:basedOn w:val="TableBodyText"/>
    <w:rsid w:val="004149CE"/>
    <w:pPr>
      <w:widowControl w:val="0"/>
      <w:autoSpaceDE w:val="0"/>
      <w:autoSpaceDN w:val="0"/>
      <w:adjustRightInd w:val="0"/>
      <w:jc w:val="right"/>
    </w:pPr>
    <w:rPr>
      <w:rFonts w:cs="Arial"/>
      <w:szCs w:val="18"/>
    </w:rPr>
  </w:style>
  <w:style w:type="paragraph" w:customStyle="1" w:styleId="CopyrightText">
    <w:name w:val="Copyright Text"/>
    <w:basedOn w:val="BodyText"/>
    <w:rsid w:val="004149CE"/>
    <w:rPr>
      <w:sz w:val="18"/>
    </w:rPr>
  </w:style>
  <w:style w:type="paragraph" w:customStyle="1" w:styleId="BodySmallRight">
    <w:name w:val="Body Small Right"/>
    <w:basedOn w:val="BodyTextRight"/>
    <w:rsid w:val="004149CE"/>
    <w:rPr>
      <w:sz w:val="18"/>
      <w:szCs w:val="18"/>
    </w:rPr>
  </w:style>
  <w:style w:type="paragraph" w:customStyle="1" w:styleId="MarginEdition">
    <w:name w:val="Margin Edition"/>
    <w:basedOn w:val="MarginNote"/>
    <w:rsid w:val="004149CE"/>
    <w:pPr>
      <w:spacing w:before="0" w:after="0"/>
    </w:pPr>
    <w:rPr>
      <w:rFonts w:ascii="Times New Roman" w:hAnsi="Times New Roman"/>
      <w:color w:val="999999"/>
    </w:rPr>
  </w:style>
  <w:style w:type="paragraph" w:customStyle="1" w:styleId="Spacer">
    <w:name w:val="Spacer"/>
    <w:basedOn w:val="Normal"/>
    <w:rsid w:val="004149CE"/>
    <w:rPr>
      <w:sz w:val="2"/>
      <w:szCs w:val="2"/>
    </w:rPr>
  </w:style>
  <w:style w:type="character" w:customStyle="1" w:styleId="Small">
    <w:name w:val="Small"/>
    <w:basedOn w:val="DefaultParagraphFont"/>
    <w:rsid w:val="004149CE"/>
    <w:rPr>
      <w:sz w:val="16"/>
    </w:rPr>
  </w:style>
  <w:style w:type="paragraph" w:customStyle="1" w:styleId="WideTable">
    <w:name w:val="Wide Table"/>
    <w:basedOn w:val="Normal"/>
    <w:rsid w:val="004149CE"/>
    <w:pPr>
      <w:ind w:left="-1418"/>
    </w:pPr>
    <w:rPr>
      <w:sz w:val="2"/>
      <w:szCs w:val="2"/>
    </w:rPr>
  </w:style>
  <w:style w:type="character" w:styleId="PageNumber">
    <w:name w:val="page number"/>
    <w:basedOn w:val="DefaultParagraphFont"/>
    <w:rsid w:val="004149CE"/>
  </w:style>
  <w:style w:type="paragraph" w:styleId="Quote">
    <w:name w:val="Quote"/>
    <w:basedOn w:val="Heading1"/>
    <w:link w:val="QuoteChar"/>
    <w:qFormat/>
    <w:rsid w:val="004149CE"/>
    <w:rPr>
      <w:b w:val="0"/>
      <w:sz w:val="72"/>
      <w:szCs w:val="72"/>
      <w:lang w:val="en-NZ"/>
    </w:rPr>
  </w:style>
  <w:style w:type="character" w:customStyle="1" w:styleId="QuoteChar">
    <w:name w:val="Quote Char"/>
    <w:basedOn w:val="DefaultParagraphFont"/>
    <w:link w:val="Quote"/>
    <w:rsid w:val="004149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9CE"/>
    <w:pPr>
      <w:pageBreakBefore/>
    </w:pPr>
  </w:style>
  <w:style w:type="paragraph" w:customStyle="1" w:styleId="Border">
    <w:name w:val="Border"/>
    <w:basedOn w:val="Normal"/>
    <w:qFormat/>
    <w:rsid w:val="004149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9CE"/>
    <w:rPr>
      <w:b/>
      <w:bCs/>
      <w:i/>
      <w:iCs/>
      <w:color w:val="auto"/>
    </w:rPr>
  </w:style>
  <w:style w:type="paragraph" w:styleId="IntenseQuote">
    <w:name w:val="Intense Quote"/>
    <w:basedOn w:val="Normal"/>
    <w:next w:val="Normal"/>
    <w:link w:val="IntenseQuoteChar"/>
    <w:uiPriority w:val="30"/>
    <w:qFormat/>
    <w:rsid w:val="004149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9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9CE"/>
    <w:rPr>
      <w:smallCaps/>
      <w:color w:val="auto"/>
      <w:u w:val="single"/>
    </w:rPr>
  </w:style>
  <w:style w:type="character" w:styleId="IntenseReference">
    <w:name w:val="Intense Reference"/>
    <w:basedOn w:val="DefaultParagraphFont"/>
    <w:uiPriority w:val="32"/>
    <w:qFormat/>
    <w:rsid w:val="004149CE"/>
    <w:rPr>
      <w:b/>
      <w:bCs/>
      <w:smallCaps/>
      <w:color w:val="auto"/>
      <w:spacing w:val="5"/>
      <w:u w:val="single"/>
    </w:rPr>
  </w:style>
  <w:style w:type="paragraph" w:customStyle="1" w:styleId="2ColumnHeading">
    <w:name w:val="2Column Heading"/>
    <w:basedOn w:val="BodyText"/>
    <w:qFormat/>
    <w:rsid w:val="004149CE"/>
    <w:pPr>
      <w:spacing w:after="60"/>
      <w:ind w:left="-2268"/>
    </w:pPr>
    <w:rPr>
      <w:b/>
    </w:rPr>
  </w:style>
  <w:style w:type="paragraph" w:customStyle="1" w:styleId="Heading1TOC">
    <w:name w:val="Heading1 TOC"/>
    <w:basedOn w:val="Normal"/>
    <w:qFormat/>
    <w:rsid w:val="004149CE"/>
    <w:pPr>
      <w:spacing w:before="240" w:after="120"/>
    </w:pPr>
    <w:rPr>
      <w:rFonts w:ascii="Times New Roman" w:hAnsi="Times New Roman"/>
      <w:b/>
      <w:sz w:val="32"/>
    </w:rPr>
  </w:style>
  <w:style w:type="paragraph" w:customStyle="1" w:styleId="Heading2TOC">
    <w:name w:val="Heading2 TOC"/>
    <w:basedOn w:val="Normal"/>
    <w:qFormat/>
    <w:rsid w:val="004149CE"/>
    <w:pPr>
      <w:spacing w:before="240" w:after="60"/>
    </w:pPr>
    <w:rPr>
      <w:rFonts w:ascii="Times New Roman" w:hAnsi="Times New Roman"/>
      <w:b/>
      <w:sz w:val="28"/>
    </w:rPr>
  </w:style>
  <w:style w:type="character" w:customStyle="1" w:styleId="Underline">
    <w:name w:val="Underline"/>
    <w:basedOn w:val="DefaultParagraphFont"/>
    <w:qFormat/>
    <w:rsid w:val="004149CE"/>
    <w:rPr>
      <w:u w:val="single"/>
    </w:rPr>
  </w:style>
  <w:style w:type="character" w:customStyle="1" w:styleId="BoldandItalics">
    <w:name w:val="Bold and Italics"/>
    <w:qFormat/>
    <w:rsid w:val="004149CE"/>
    <w:rPr>
      <w:b/>
      <w:i/>
      <w:u w:val="none"/>
    </w:rPr>
  </w:style>
  <w:style w:type="paragraph" w:styleId="BalloonText">
    <w:name w:val="Balloon Text"/>
    <w:basedOn w:val="Normal"/>
    <w:link w:val="BalloonTextChar"/>
    <w:rsid w:val="004149CE"/>
    <w:rPr>
      <w:rFonts w:ascii="Tahoma" w:hAnsi="Tahoma" w:cs="Tahoma"/>
      <w:sz w:val="16"/>
      <w:szCs w:val="16"/>
    </w:rPr>
  </w:style>
  <w:style w:type="character" w:customStyle="1" w:styleId="BalloonTextChar">
    <w:name w:val="Balloon Text Char"/>
    <w:basedOn w:val="DefaultParagraphFont"/>
    <w:link w:val="BalloonText"/>
    <w:rsid w:val="004149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9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49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9CE"/>
    <w:rPr>
      <w:b/>
      <w:color w:val="660033"/>
      <w:spacing w:val="0"/>
    </w:rPr>
  </w:style>
  <w:style w:type="paragraph" w:customStyle="1" w:styleId="Nameditemlist">
    <w:name w:val="Named item list"/>
    <w:basedOn w:val="BodyText"/>
    <w:qFormat/>
    <w:rsid w:val="004149CE"/>
    <w:pPr>
      <w:tabs>
        <w:tab w:val="left" w:pos="2835"/>
      </w:tabs>
      <w:ind w:left="2835" w:hanging="2835"/>
    </w:pPr>
  </w:style>
  <w:style w:type="paragraph" w:customStyle="1" w:styleId="BodyTextnopadding">
    <w:name w:val="Body Text no padding"/>
    <w:basedOn w:val="BodyText"/>
    <w:qFormat/>
    <w:rsid w:val="004149CE"/>
    <w:pPr>
      <w:spacing w:before="0" w:after="0"/>
    </w:pPr>
  </w:style>
  <w:style w:type="paragraph" w:customStyle="1" w:styleId="BodyTextBold">
    <w:name w:val="Body Text Bold"/>
    <w:basedOn w:val="BodyText"/>
    <w:qFormat/>
    <w:rsid w:val="004149CE"/>
    <w:rPr>
      <w:b/>
    </w:rPr>
  </w:style>
  <w:style w:type="character" w:styleId="Hyperlink">
    <w:name w:val="Hyperlink"/>
    <w:basedOn w:val="DefaultParagraphFont"/>
    <w:uiPriority w:val="99"/>
    <w:unhideWhenUsed/>
    <w:rsid w:val="00BB56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758</Words>
  <Characters>4988</Characters>
  <Application>Microsoft Office Word</Application>
  <DocSecurity>0</DocSecurity>
  <Lines>110</Lines>
  <Paragraphs>84</Paragraphs>
  <ScaleCrop>false</ScaleCrop>
  <Company>Author-it Software Corporation Ltd.</Company>
  <LinksUpToDate>false</LinksUpToDate>
  <CharactersWithSpaces>5662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UETTDRIS69 Diagnose and rectify faults in energy supply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2022-07-19T03:59:00Z</dcterms:created>
  <dcterms:modified xsi:type="dcterms:W3CDTF">2022-07-19T03:59:00Z</dcterms:modified>
</cp:coreProperties>
</file>