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517" w:rsidP="005C1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UETTDRIS68 Solve problems in energy supply network protection equipment and systems</w:t>
      </w:r>
      <w:r>
        <w:fldChar w:fldCharType="end"/>
      </w:r>
    </w:p>
    <w:p w:rsidR="005C1517" w:rsidP="005C1517">
      <w:pPr>
        <w:pStyle w:val="Version"/>
        <w:sectPr w:rsidSect="000D1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EE1" w:rsidP="000D1EE1">
      <w:pPr>
        <w:pStyle w:val="SuperHeading"/>
      </w:pPr>
      <w:r w:rsidRPr="000D1EE1">
        <w:t>Assessment Requirements for UETTDRIS68 Solve problems in energy supply network protection equipment and systems</w:t>
      </w:r>
    </w:p>
    <w:p w:rsidR="00000000" w:rsidRPr="000D1EE1" w:rsidP="000D1EE1">
      <w:pPr>
        <w:pStyle w:val="Heading1"/>
      </w:pPr>
      <w:bookmarkStart w:id="1" w:name="O_1003697"/>
      <w:bookmarkEnd w:id="1"/>
      <w:r w:rsidRPr="000D1E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E1" w:rsidP="000D1EE1">
            <w:pPr>
              <w:pStyle w:val="BodyText"/>
            </w:pPr>
            <w:r w:rsidRPr="000D1EE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D1EE1" w:rsidP="000D1EE1">
      <w:pPr>
        <w:pStyle w:val="NoPaddingFontSize1"/>
      </w:pPr>
    </w:p>
    <w:p w:rsidR="00000000" w:rsidRPr="000D1EE1" w:rsidP="000D1EE1">
      <w:pPr>
        <w:pStyle w:val="AllowPageBreak"/>
      </w:pPr>
    </w:p>
    <w:p w:rsidR="00000000" w:rsidRPr="000D1EE1" w:rsidP="000D1EE1">
      <w:pPr>
        <w:pStyle w:val="Heading1"/>
      </w:pPr>
      <w:bookmarkStart w:id="2" w:name="O_1003698"/>
      <w:bookmarkEnd w:id="2"/>
      <w:r w:rsidRPr="000D1EE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E1">
            <w:pPr>
              <w:pStyle w:val="BodyText"/>
              <w:rPr>
                <w:lang w:val="en-NZ"/>
              </w:rPr>
            </w:pPr>
            <w:r w:rsidRPr="000D1EE1">
              <w:t>Evidence required to demonstrate competence in this unit must be relevant to a</w:t>
            </w:r>
            <w:r w:rsidRPr="000D1EE1">
              <w:t xml:space="preserve">nd satisfy all of the requirements of the elements and performance criteria on at least two separate occasions and include:  </w:t>
            </w:r>
          </w:p>
        </w:tc>
      </w:tr>
      <w:tr w:rsidTr="000D1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E1" w:rsidP="000D1EE1">
            <w:pPr>
              <w:pStyle w:val="ListBullet"/>
            </w:pPr>
            <w:r w:rsidRPr="000D1EE1">
              <w:t>applying relevant work health and safety (WHS)/occupational health and safety (OHS) requirements, including the use of risk cont</w:t>
            </w:r>
            <w:r w:rsidRPr="000D1EE1">
              <w:t>rol measures</w:t>
            </w:r>
          </w:p>
          <w:p w:rsidR="00000000" w:rsidRPr="000D1EE1" w:rsidP="000D1EE1">
            <w:pPr>
              <w:pStyle w:val="ListBullet"/>
            </w:pPr>
            <w:r w:rsidRPr="000D1EE1">
              <w:t>applying sustainable energy principles and practices</w:t>
            </w:r>
          </w:p>
          <w:p w:rsidR="00000000" w:rsidRPr="000D1EE1" w:rsidP="000D1EE1">
            <w:pPr>
              <w:pStyle w:val="ListBullet"/>
            </w:pPr>
            <w:r w:rsidRPr="000D1EE1">
              <w:t>solving problems in energy supply network equipment including all of the following:</w:t>
            </w:r>
          </w:p>
          <w:p w:rsidR="00000000" w:rsidRPr="000D1EE1" w:rsidP="000D1EE1">
            <w:pPr>
              <w:pStyle w:val="ListBullet2"/>
            </w:pPr>
            <w:r w:rsidRPr="000D1EE1">
              <w:t>determining the operating parameters of existing energy supply protection equipment and systems</w:t>
            </w:r>
          </w:p>
          <w:p w:rsidR="00000000" w:rsidRPr="000D1EE1" w:rsidP="000D1EE1">
            <w:pPr>
              <w:pStyle w:val="ListBullet2"/>
            </w:pPr>
            <w:r w:rsidRPr="000D1EE1">
              <w:t>envisaging the likely extent of work from reports and discussions with appropriate personnel</w:t>
            </w:r>
          </w:p>
          <w:p w:rsidR="00000000" w:rsidRPr="000D1EE1" w:rsidP="000D1EE1">
            <w:pPr>
              <w:pStyle w:val="ListBullet2"/>
            </w:pPr>
            <w:r w:rsidRPr="000D1EE1">
              <w:t>using methodical problem-solving techniques</w:t>
            </w:r>
          </w:p>
          <w:p w:rsidR="00000000" w:rsidRPr="000D1EE1" w:rsidP="000D1EE1">
            <w:pPr>
              <w:pStyle w:val="ListBullet2"/>
            </w:pPr>
            <w:r w:rsidRPr="000D1EE1">
              <w:t>solving problems efficiently</w:t>
            </w:r>
          </w:p>
          <w:p w:rsidR="00000000" w:rsidRPr="000D1EE1" w:rsidP="000D1EE1">
            <w:pPr>
              <w:pStyle w:val="ListBullet2"/>
            </w:pPr>
            <w:r w:rsidRPr="000D1EE1">
              <w:t>altering an existing energy supply protection equipment to comply with specified operating</w:t>
            </w:r>
            <w:r w:rsidRPr="000D1EE1">
              <w:t xml:space="preserve"> parameters</w:t>
            </w:r>
          </w:p>
          <w:p w:rsidR="00000000" w:rsidRPr="000D1EE1" w:rsidP="000D1EE1">
            <w:pPr>
              <w:pStyle w:val="ListBullet2"/>
            </w:pPr>
            <w:r w:rsidRPr="000D1EE1">
              <w:t>developing energy supply protection equipment to comply with a specified function and operating parameters</w:t>
            </w:r>
          </w:p>
          <w:p w:rsidR="00000000" w:rsidRPr="000D1EE1" w:rsidP="000D1EE1">
            <w:pPr>
              <w:pStyle w:val="ListBullet2"/>
            </w:pPr>
            <w:r w:rsidRPr="000D1EE1">
              <w:t>determining conditions causing an existing energy supply protection equipment to be unsafe</w:t>
            </w:r>
          </w:p>
          <w:p w:rsidR="00000000" w:rsidRPr="000D1EE1" w:rsidP="000D1EE1">
            <w:pPr>
              <w:pStyle w:val="ListBullet2"/>
            </w:pPr>
            <w:r w:rsidRPr="000D1EE1">
              <w:t>completing documentation correctly</w:t>
            </w:r>
          </w:p>
          <w:p w:rsidR="00000000" w:rsidRPr="000D1EE1" w:rsidP="000D1EE1">
            <w:pPr>
              <w:pStyle w:val="ListBullet"/>
            </w:pPr>
            <w:r w:rsidRPr="000D1EE1">
              <w:t>solving pr</w:t>
            </w:r>
            <w:r w:rsidRPr="000D1EE1">
              <w:t xml:space="preserve">oblems in energy supply network systems including at least one (1) of the following: </w:t>
            </w:r>
          </w:p>
          <w:p w:rsidR="00000000" w:rsidRPr="000D1EE1" w:rsidP="000D1EE1">
            <w:pPr>
              <w:pStyle w:val="ListBullet2"/>
            </w:pPr>
            <w:r w:rsidRPr="000D1EE1">
              <w:t>distribution overhead system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distribution underground system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transmission overhead system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transmission underground system </w:t>
            </w:r>
          </w:p>
          <w:p w:rsidR="00000000" w:rsidRPr="000D1EE1" w:rsidP="000D1EE1">
            <w:pPr>
              <w:pStyle w:val="ListBullet"/>
            </w:pPr>
            <w:r w:rsidRPr="000D1EE1">
              <w:t>solving problems in energy supply protectio</w:t>
            </w:r>
            <w:r w:rsidRPr="000D1EE1">
              <w:t xml:space="preserve">n equipment and systems including at least two (2) of the following: 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over-current protection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earth fault protection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differential protection 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oil and gas devices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busbar protection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surge protection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conventional relays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electronic relays </w:t>
            </w:r>
          </w:p>
          <w:p w:rsidR="00000000" w:rsidRPr="000D1EE1" w:rsidP="000D1EE1">
            <w:pPr>
              <w:pStyle w:val="ListBullet2"/>
            </w:pPr>
            <w:r w:rsidRPr="000D1EE1">
              <w:t xml:space="preserve">reclosers/sectionalisers </w:t>
            </w:r>
          </w:p>
          <w:p w:rsidR="00000000" w:rsidRPr="000D1EE1" w:rsidP="000D1EE1">
            <w:pPr>
              <w:pStyle w:val="ListBullet"/>
            </w:pPr>
            <w:r w:rsidRPr="000D1EE1">
              <w:t>dealing with unplanned events on at least one (1) occasion.</w:t>
            </w:r>
          </w:p>
        </w:tc>
      </w:tr>
    </w:tbl>
    <w:p w:rsidR="00000000" w:rsidRPr="000D1EE1" w:rsidP="000D1EE1">
      <w:pPr>
        <w:pStyle w:val="NoPaddingFontSize1"/>
      </w:pPr>
    </w:p>
    <w:p w:rsidR="00000000" w:rsidRPr="000D1EE1" w:rsidP="000D1EE1">
      <w:pPr>
        <w:pStyle w:val="AllowPageBreak"/>
      </w:pPr>
    </w:p>
    <w:p w:rsidR="00000000" w:rsidRPr="000D1EE1" w:rsidP="000D1EE1">
      <w:pPr>
        <w:pStyle w:val="Heading1"/>
      </w:pPr>
      <w:bookmarkStart w:id="3" w:name="O_1003699"/>
      <w:bookmarkEnd w:id="3"/>
      <w:r w:rsidRPr="000D1E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EE1">
            <w:pPr>
              <w:pStyle w:val="BodyText"/>
              <w:rPr>
                <w:lang w:val="en-NZ"/>
              </w:rPr>
            </w:pPr>
            <w:r w:rsidRPr="000D1EE1">
              <w:t>Evidence require</w:t>
            </w:r>
            <w:r w:rsidRPr="000D1EE1">
              <w:t>d to demonstrate competence in this unit must be relevant to and satisfy all of the requirements of the elements and performance criteria and include knowledge of:</w:t>
            </w:r>
          </w:p>
        </w:tc>
      </w:tr>
      <w:tr w:rsidTr="000D1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E1" w:rsidP="000D1EE1">
            <w:pPr>
              <w:pStyle w:val="ListBullet"/>
            </w:pPr>
            <w:r w:rsidRPr="000D1EE1">
              <w:t>protection fundamentals encompassing:</w:t>
            </w:r>
          </w:p>
          <w:p w:rsidR="00000000" w:rsidRPr="000D1EE1" w:rsidP="000D1EE1">
            <w:pPr>
              <w:pStyle w:val="ListBullet2"/>
            </w:pPr>
            <w:r w:rsidRPr="000D1EE1">
              <w:t>purpose of protection</w:t>
            </w:r>
          </w:p>
          <w:p w:rsidR="00000000" w:rsidRPr="000D1EE1" w:rsidP="000D1EE1">
            <w:pPr>
              <w:pStyle w:val="ListBullet2"/>
            </w:pPr>
            <w:r w:rsidRPr="000D1EE1">
              <w:t>features of a protection scheme</w:t>
            </w:r>
          </w:p>
          <w:p w:rsidR="00000000" w:rsidRPr="000D1EE1" w:rsidP="000D1EE1">
            <w:pPr>
              <w:pStyle w:val="ListBullet"/>
            </w:pPr>
            <w:r w:rsidRPr="000D1EE1">
              <w:t>instrument transformers for protection encompassing:</w:t>
            </w:r>
          </w:p>
          <w:p w:rsidR="00000000" w:rsidRPr="000D1EE1" w:rsidP="000D1EE1">
            <w:pPr>
              <w:pStyle w:val="ListBullet2"/>
            </w:pPr>
            <w:r w:rsidRPr="000D1EE1">
              <w:t>operating principles</w:t>
            </w:r>
          </w:p>
          <w:p w:rsidR="00000000" w:rsidRPr="000D1EE1" w:rsidP="000D1EE1">
            <w:pPr>
              <w:pStyle w:val="ListBullet2"/>
            </w:pPr>
            <w:r w:rsidRPr="000D1EE1">
              <w:t>applications of current transformers</w:t>
            </w:r>
          </w:p>
          <w:p w:rsidR="00000000" w:rsidRPr="000D1EE1" w:rsidP="000D1EE1">
            <w:pPr>
              <w:pStyle w:val="ListBullet2"/>
            </w:pPr>
            <w:r w:rsidRPr="000D1EE1">
              <w:t>applications of voltage transformers</w:t>
            </w:r>
          </w:p>
          <w:p w:rsidR="00000000" w:rsidRPr="000D1EE1" w:rsidP="000D1EE1">
            <w:pPr>
              <w:pStyle w:val="ListBullet"/>
            </w:pPr>
            <w:r w:rsidRPr="000D1EE1">
              <w:t>feeder protection encompassing:</w:t>
            </w:r>
          </w:p>
          <w:p w:rsidR="00000000" w:rsidRPr="000D1EE1" w:rsidP="000D1EE1">
            <w:pPr>
              <w:pStyle w:val="ListBullet2"/>
            </w:pPr>
            <w:r w:rsidRPr="000D1EE1">
              <w:t>fuse protection</w:t>
            </w:r>
          </w:p>
          <w:p w:rsidR="00000000" w:rsidRPr="000D1EE1" w:rsidP="000D1EE1">
            <w:pPr>
              <w:pStyle w:val="ListBullet2"/>
            </w:pPr>
            <w:r w:rsidRPr="000D1EE1">
              <w:t>overcurrent and earth fa</w:t>
            </w:r>
            <w:r w:rsidRPr="000D1EE1">
              <w:t>ult</w:t>
            </w:r>
          </w:p>
          <w:p w:rsidR="00000000" w:rsidRPr="000D1EE1" w:rsidP="000D1EE1">
            <w:pPr>
              <w:pStyle w:val="ListBullet2"/>
            </w:pPr>
            <w:r w:rsidRPr="000D1EE1">
              <w:t>sensitive earth fault</w:t>
            </w:r>
          </w:p>
          <w:p w:rsidR="00000000" w:rsidRPr="000D1EE1" w:rsidP="000D1EE1">
            <w:pPr>
              <w:pStyle w:val="ListBullet2"/>
            </w:pPr>
            <w:r w:rsidRPr="000D1EE1">
              <w:t>unit schemes</w:t>
            </w:r>
          </w:p>
          <w:p w:rsidR="00000000" w:rsidRPr="000D1EE1" w:rsidP="000D1EE1">
            <w:pPr>
              <w:pStyle w:val="ListBullet2"/>
            </w:pPr>
            <w:r w:rsidRPr="000D1EE1">
              <w:t>distance protection</w:t>
            </w:r>
          </w:p>
          <w:p w:rsidR="00000000" w:rsidRPr="000D1EE1" w:rsidP="000D1EE1">
            <w:pPr>
              <w:pStyle w:val="ListBullet2"/>
            </w:pPr>
            <w:r w:rsidRPr="000D1EE1">
              <w:t>trip/close sequences for feeders</w:t>
            </w:r>
          </w:p>
          <w:p w:rsidR="00000000" w:rsidRPr="000D1EE1" w:rsidP="000D1EE1">
            <w:pPr>
              <w:pStyle w:val="ListBullet2"/>
            </w:pPr>
            <w:r w:rsidRPr="000D1EE1">
              <w:t>recloser/sectionaliser systems</w:t>
            </w:r>
          </w:p>
          <w:p w:rsidR="00000000" w:rsidRPr="000D1EE1" w:rsidP="000D1EE1">
            <w:pPr>
              <w:pStyle w:val="ListBullet"/>
            </w:pPr>
            <w:r w:rsidRPr="000D1EE1">
              <w:t xml:space="preserve">transformer protection encompassing:     </w:t>
            </w:r>
          </w:p>
          <w:p w:rsidR="00000000" w:rsidRPr="000D1EE1" w:rsidP="000D1EE1">
            <w:pPr>
              <w:pStyle w:val="ListBullet2"/>
            </w:pPr>
            <w:r w:rsidRPr="000D1EE1">
              <w:t>overheating protection</w:t>
            </w:r>
          </w:p>
          <w:p w:rsidR="00000000" w:rsidRPr="000D1EE1" w:rsidP="000D1EE1">
            <w:pPr>
              <w:pStyle w:val="ListBullet2"/>
            </w:pPr>
            <w:r w:rsidRPr="000D1EE1">
              <w:t>overcurrent protection</w:t>
            </w:r>
          </w:p>
          <w:p w:rsidR="00000000" w:rsidRPr="000D1EE1" w:rsidP="000D1EE1">
            <w:pPr>
              <w:pStyle w:val="ListBullet2"/>
            </w:pPr>
            <w:r w:rsidRPr="000D1EE1">
              <w:t>restricted earth fault protection</w:t>
            </w:r>
          </w:p>
          <w:p w:rsidR="00000000" w:rsidRPr="000D1EE1" w:rsidP="000D1EE1">
            <w:pPr>
              <w:pStyle w:val="ListBullet2"/>
            </w:pPr>
            <w:r w:rsidRPr="000D1EE1">
              <w:t>differential protection</w:t>
            </w:r>
          </w:p>
          <w:p w:rsidR="00000000" w:rsidRPr="000D1EE1" w:rsidP="000D1EE1">
            <w:pPr>
              <w:pStyle w:val="ListBullet2"/>
            </w:pPr>
            <w:r w:rsidRPr="000D1EE1">
              <w:t>oil and gas devices</w:t>
            </w:r>
          </w:p>
          <w:p w:rsidR="00000000" w:rsidRPr="000D1EE1" w:rsidP="000D1EE1">
            <w:pPr>
              <w:pStyle w:val="ListBullet"/>
            </w:pPr>
            <w:r w:rsidRPr="000D1EE1">
              <w:t>busbar protection encompassing:</w:t>
            </w:r>
          </w:p>
          <w:p w:rsidR="00000000" w:rsidRPr="000D1EE1" w:rsidP="000D1EE1">
            <w:pPr>
              <w:pStyle w:val="ListBullet2"/>
            </w:pPr>
            <w:r w:rsidRPr="000D1EE1">
              <w:t>types of fault</w:t>
            </w:r>
          </w:p>
          <w:p w:rsidR="00000000" w:rsidRPr="000D1EE1" w:rsidP="000D1EE1">
            <w:pPr>
              <w:pStyle w:val="ListBullet2"/>
            </w:pPr>
            <w:r w:rsidRPr="000D1EE1">
              <w:t>requirements of busbar protection</w:t>
            </w:r>
          </w:p>
          <w:p w:rsidR="00000000" w:rsidRPr="000D1EE1" w:rsidP="000D1EE1">
            <w:pPr>
              <w:pStyle w:val="ListBullet2"/>
            </w:pPr>
            <w:r w:rsidRPr="000D1EE1">
              <w:t>system protection</w:t>
            </w:r>
          </w:p>
          <w:p w:rsidR="00000000" w:rsidRPr="000D1EE1" w:rsidP="000D1EE1">
            <w:pPr>
              <w:pStyle w:val="ListBullet2"/>
            </w:pPr>
            <w:r w:rsidRPr="000D1EE1">
              <w:t>frame-earth protection</w:t>
            </w:r>
          </w:p>
          <w:p w:rsidR="00000000" w:rsidRPr="000D1EE1" w:rsidP="000D1EE1">
            <w:pPr>
              <w:pStyle w:val="ListBullet"/>
            </w:pPr>
            <w:r w:rsidRPr="000D1EE1">
              <w:t>surge protection encompassing:</w:t>
            </w:r>
          </w:p>
          <w:p w:rsidR="00000000" w:rsidRPr="000D1EE1" w:rsidP="000D1EE1">
            <w:pPr>
              <w:pStyle w:val="ListBullet2"/>
            </w:pPr>
            <w:r w:rsidRPr="000D1EE1">
              <w:t>voltage surges</w:t>
            </w:r>
          </w:p>
          <w:p w:rsidR="00000000" w:rsidRPr="000D1EE1" w:rsidP="000D1EE1">
            <w:pPr>
              <w:pStyle w:val="ListBullet2"/>
            </w:pPr>
            <w:r w:rsidRPr="000D1EE1">
              <w:t>surge diverters</w:t>
            </w:r>
          </w:p>
          <w:p w:rsidR="00000000" w:rsidRPr="000D1EE1" w:rsidP="000D1EE1">
            <w:pPr>
              <w:pStyle w:val="ListBullet2"/>
            </w:pPr>
            <w:r w:rsidRPr="000D1EE1">
              <w:t>arcing horns.</w:t>
            </w:r>
          </w:p>
        </w:tc>
      </w:tr>
    </w:tbl>
    <w:p w:rsidR="00000000" w:rsidRPr="000D1EE1" w:rsidP="000D1EE1">
      <w:pPr>
        <w:pStyle w:val="NoPaddingFontSize1"/>
      </w:pPr>
    </w:p>
    <w:p w:rsidR="00000000" w:rsidRPr="000D1EE1" w:rsidP="000D1EE1">
      <w:pPr>
        <w:pStyle w:val="AllowPageBreak"/>
      </w:pPr>
    </w:p>
    <w:p w:rsidR="00000000" w:rsidRPr="000D1EE1" w:rsidP="000D1EE1">
      <w:pPr>
        <w:pStyle w:val="Heading1"/>
      </w:pPr>
      <w:bookmarkStart w:id="4" w:name="O_1003700"/>
      <w:bookmarkEnd w:id="4"/>
      <w:r w:rsidRPr="000D1E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EE1" w:rsidP="000D1EE1">
            <w:pPr>
              <w:pStyle w:val="BodyText"/>
            </w:pPr>
            <w:r w:rsidRPr="000D1EE1">
              <w:t>Assessors must hold credentials specified within the Standards for Registered Training Organisations current at the time of assessment.</w:t>
            </w:r>
          </w:p>
          <w:p w:rsidR="00000000" w:rsidRPr="000D1EE1" w:rsidP="000D1EE1">
            <w:pPr>
              <w:pStyle w:val="BodyText"/>
            </w:pPr>
            <w:r w:rsidRPr="000D1EE1">
              <w:t>Assessment must satisfy the Principles of Assessment and Rules of Evidence and a</w:t>
            </w:r>
            <w:r w:rsidRPr="000D1EE1">
              <w:t>ll regulatory requirements included within the Standards for Registered Training Organisations current at the time of assessment.</w:t>
            </w:r>
          </w:p>
          <w:p w:rsidR="00000000" w:rsidRPr="000D1EE1" w:rsidP="000D1EE1">
            <w:pPr>
              <w:pStyle w:val="BodyText"/>
            </w:pPr>
            <w:r w:rsidRPr="000D1EE1">
              <w:t>Assessment must occur in workplace operational situations where it is appropriate to do so; where this is not appropriate, ass</w:t>
            </w:r>
            <w:r w:rsidRPr="000D1EE1">
              <w:t>essment must occur in simulated conditions involving realistic and authentic activities that replicate operational workplace conditions.</w:t>
            </w:r>
          </w:p>
          <w:p w:rsidR="00000000" w:rsidRPr="000D1EE1" w:rsidP="000D1EE1">
            <w:pPr>
              <w:pStyle w:val="BodyText"/>
            </w:pPr>
            <w:r w:rsidRPr="000D1EE1">
              <w:t>Assessment processes and techniques must be appropriate to the language, literacy and numeracy requirements of the work</w:t>
            </w:r>
            <w:r w:rsidRPr="000D1EE1">
              <w:t xml:space="preserve"> being performed and the needs of the candidate.</w:t>
            </w:r>
          </w:p>
          <w:p w:rsidR="00000000" w:rsidRPr="000D1EE1" w:rsidP="000D1EE1">
            <w:pPr>
              <w:pStyle w:val="BodyText"/>
            </w:pPr>
            <w:r w:rsidRPr="000D1EE1">
              <w:t>Resources for assessment must include access to:</w:t>
            </w:r>
          </w:p>
          <w:p w:rsidR="00000000" w:rsidRPr="000D1EE1" w:rsidP="000D1EE1">
            <w:pPr>
              <w:pStyle w:val="ListBullet"/>
            </w:pPr>
            <w:r w:rsidRPr="000D1EE1">
              <w:t>a range of relevant exercises, case studies and/or other simulations</w:t>
            </w:r>
          </w:p>
          <w:p w:rsidR="00000000" w:rsidRPr="000D1EE1" w:rsidP="000D1EE1">
            <w:pPr>
              <w:pStyle w:val="ListBullet"/>
            </w:pPr>
            <w:r w:rsidRPr="000D1EE1">
              <w:t>relevant and appropriate materials, tools, facilities, equipment and personal protective equipment (PPE) currently used in industry</w:t>
            </w:r>
          </w:p>
          <w:p w:rsidR="00000000" w:rsidRPr="000D1EE1" w:rsidP="000D1EE1">
            <w:pPr>
              <w:pStyle w:val="ListBullet"/>
            </w:pPr>
            <w:r w:rsidRPr="000D1EE1">
              <w:t>applicable documentation, including workplace procedures, relevant industry standards, equipment specifications, regulations</w:t>
            </w:r>
            <w:r w:rsidRPr="000D1EE1">
              <w:t>, codes of practice and operation manuals.</w:t>
            </w:r>
          </w:p>
        </w:tc>
      </w:tr>
    </w:tbl>
    <w:p w:rsidR="00000000" w:rsidRPr="000D1EE1" w:rsidP="000D1EE1">
      <w:pPr>
        <w:pStyle w:val="NoPaddingFontSize1"/>
      </w:pPr>
    </w:p>
    <w:p w:rsidR="00000000" w:rsidRPr="000D1EE1" w:rsidP="000D1EE1">
      <w:pPr>
        <w:pStyle w:val="AllowPageBreak"/>
      </w:pPr>
    </w:p>
    <w:p w:rsidR="00000000" w:rsidRPr="000D1EE1" w:rsidP="000D1EE1">
      <w:pPr>
        <w:pStyle w:val="Heading1"/>
      </w:pPr>
      <w:bookmarkStart w:id="5" w:name="O_1003703"/>
      <w:bookmarkEnd w:id="5"/>
      <w:r w:rsidRPr="000D1EE1">
        <w:t>Links</w:t>
      </w:r>
    </w:p>
    <w:p w:rsidR="00000000" w:rsidRPr="000D1EE1" w:rsidP="005C1517">
      <w:pPr>
        <w:pStyle w:val="BodyText"/>
      </w:pPr>
      <w:r w:rsidRPr="000D1EE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A29C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D1EE1" w:rsidP="000D1EE1"/>
    <w:sectPr w:rsidSect="000D1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E1" w:rsidRPr="005C1517" w:rsidP="005C1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17" w:rsidP="000D1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517" w:rsidP="000D1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1517" w:rsidP="000D1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EE1" w:rsidRPr="005C1517" w:rsidP="005C15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17" w:rsidRPr="002D2AF8" w:rsidP="000D1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UETTDRIS68 Solve problems in energy supply network protection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5C1517" w:rsidP="000D1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86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D84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8A7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EE1"/>
  </w:style>
  <w:style w:type="character" w:customStyle="1" w:styleId="Heading1Char">
    <w:name w:val="Heading 1 Char"/>
    <w:basedOn w:val="DefaultParagraphFont"/>
    <w:link w:val="Heading1"/>
    <w:rsid w:val="000D1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E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E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1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EE1"/>
    <w:rPr>
      <w:b/>
      <w:spacing w:val="0"/>
    </w:rPr>
  </w:style>
  <w:style w:type="paragraph" w:customStyle="1" w:styleId="SuperTitle">
    <w:name w:val="SuperTitle"/>
    <w:basedOn w:val="Title"/>
    <w:rsid w:val="000D1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EE1"/>
    <w:rPr>
      <w:i/>
    </w:rPr>
  </w:style>
  <w:style w:type="paragraph" w:styleId="Caption">
    <w:name w:val="caption"/>
    <w:basedOn w:val="BodyText"/>
    <w:next w:val="Normal"/>
    <w:qFormat/>
    <w:rsid w:val="000D1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EE1"/>
  </w:style>
  <w:style w:type="paragraph" w:styleId="TableofFigures">
    <w:name w:val="table of figures"/>
    <w:basedOn w:val="Normal"/>
    <w:next w:val="Normal"/>
    <w:semiHidden/>
    <w:rsid w:val="000D1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EE1"/>
    <w:rPr>
      <w:rFonts w:ascii="Wingdings" w:hAnsi="Wingdings"/>
    </w:rPr>
  </w:style>
  <w:style w:type="paragraph" w:customStyle="1" w:styleId="TableHeading">
    <w:name w:val="Table Heading"/>
    <w:basedOn w:val="HeadingBase"/>
    <w:rsid w:val="000D1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EE1"/>
    <w:rPr>
      <w:color w:val="0033CC"/>
      <w:u w:val="none"/>
    </w:rPr>
  </w:style>
  <w:style w:type="paragraph" w:customStyle="1" w:styleId="BodyTextRight">
    <w:name w:val="Body Text Right"/>
    <w:basedOn w:val="BodyText"/>
    <w:rsid w:val="000D1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EE1"/>
    <w:rPr>
      <w:sz w:val="32"/>
    </w:rPr>
  </w:style>
  <w:style w:type="paragraph" w:customStyle="1" w:styleId="HeadingProcedure">
    <w:name w:val="Heading Procedure"/>
    <w:basedOn w:val="HeadingBase"/>
    <w:next w:val="Normal"/>
    <w:rsid w:val="000D1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EE1"/>
    <w:pPr>
      <w:spacing w:before="60" w:after="60"/>
    </w:pPr>
  </w:style>
  <w:style w:type="paragraph" w:styleId="ListContinue">
    <w:name w:val="List Continue"/>
    <w:basedOn w:val="List"/>
    <w:rsid w:val="000D1EE1"/>
    <w:pPr>
      <w:ind w:firstLine="0"/>
    </w:pPr>
  </w:style>
  <w:style w:type="paragraph" w:customStyle="1" w:styleId="ListNote">
    <w:name w:val="List Note"/>
    <w:basedOn w:val="List"/>
    <w:rsid w:val="000D1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EE1"/>
    <w:rPr>
      <w:rFonts w:ascii="Courier New" w:hAnsi="Courier New"/>
    </w:rPr>
  </w:style>
  <w:style w:type="paragraph" w:customStyle="1" w:styleId="NoteBullet">
    <w:name w:val="Note Bullet"/>
    <w:basedOn w:val="Note"/>
    <w:rsid w:val="000D1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EE1"/>
    <w:rPr>
      <w:b/>
      <w:smallCaps/>
    </w:rPr>
  </w:style>
  <w:style w:type="paragraph" w:customStyle="1" w:styleId="TableListNumber">
    <w:name w:val="Table List Number"/>
    <w:basedOn w:val="ListNumber"/>
    <w:rsid w:val="000D1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EE1"/>
    <w:pPr>
      <w:numPr>
        <w:numId w:val="9"/>
      </w:numPr>
    </w:pPr>
  </w:style>
  <w:style w:type="paragraph" w:customStyle="1" w:styleId="ListAlpha2">
    <w:name w:val="List Alpha 2"/>
    <w:basedOn w:val="List2"/>
    <w:rsid w:val="000D1EE1"/>
    <w:pPr>
      <w:numPr>
        <w:numId w:val="8"/>
      </w:numPr>
    </w:pPr>
  </w:style>
  <w:style w:type="paragraph" w:styleId="List2">
    <w:name w:val="List 2"/>
    <w:basedOn w:val="BodyText"/>
    <w:rsid w:val="000D1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EE1"/>
    <w:pPr>
      <w:numPr>
        <w:numId w:val="4"/>
      </w:numPr>
    </w:pPr>
  </w:style>
  <w:style w:type="paragraph" w:styleId="ListContinue2">
    <w:name w:val="List Continue 2"/>
    <w:basedOn w:val="List2"/>
    <w:rsid w:val="000D1EE1"/>
    <w:pPr>
      <w:ind w:firstLine="0"/>
    </w:pPr>
  </w:style>
  <w:style w:type="paragraph" w:styleId="ListContinue3">
    <w:name w:val="List Continue 3"/>
    <w:basedOn w:val="List3"/>
    <w:rsid w:val="000D1EE1"/>
    <w:pPr>
      <w:ind w:left="1021" w:firstLine="0"/>
    </w:pPr>
  </w:style>
  <w:style w:type="paragraph" w:styleId="ListContinue4">
    <w:name w:val="List Continue 4"/>
    <w:basedOn w:val="List4"/>
    <w:rsid w:val="000D1EE1"/>
    <w:pPr>
      <w:ind w:firstLine="0"/>
    </w:pPr>
  </w:style>
  <w:style w:type="paragraph" w:styleId="ListContinue5">
    <w:name w:val="List Continue 5"/>
    <w:basedOn w:val="List5"/>
    <w:rsid w:val="000D1EE1"/>
    <w:pPr>
      <w:ind w:firstLine="0"/>
    </w:pPr>
  </w:style>
  <w:style w:type="paragraph" w:styleId="ListNumber3">
    <w:name w:val="List Number 3"/>
    <w:basedOn w:val="List3"/>
    <w:rsid w:val="000D1EE1"/>
    <w:pPr>
      <w:numPr>
        <w:numId w:val="5"/>
      </w:numPr>
    </w:pPr>
  </w:style>
  <w:style w:type="paragraph" w:styleId="ListNumber4">
    <w:name w:val="List Number 4"/>
    <w:basedOn w:val="List4"/>
    <w:rsid w:val="000D1EE1"/>
    <w:pPr>
      <w:numPr>
        <w:numId w:val="6"/>
      </w:numPr>
    </w:pPr>
  </w:style>
  <w:style w:type="paragraph" w:styleId="ListNumber5">
    <w:name w:val="List Number 5"/>
    <w:basedOn w:val="List5"/>
    <w:rsid w:val="000D1EE1"/>
    <w:pPr>
      <w:numPr>
        <w:numId w:val="7"/>
      </w:numPr>
    </w:pPr>
  </w:style>
  <w:style w:type="paragraph" w:styleId="BlockText">
    <w:name w:val="Block Text"/>
    <w:basedOn w:val="Normal"/>
    <w:rsid w:val="000D1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EE1"/>
    <w:rPr>
      <w:sz w:val="16"/>
      <w:vertAlign w:val="superscript"/>
    </w:rPr>
  </w:style>
  <w:style w:type="character" w:customStyle="1" w:styleId="Symbols">
    <w:name w:val="Symbols"/>
    <w:basedOn w:val="DefaultParagraphFont"/>
    <w:rsid w:val="000D1EE1"/>
    <w:rPr>
      <w:rFonts w:ascii="Symbol" w:hAnsi="Symbol"/>
    </w:rPr>
  </w:style>
  <w:style w:type="character" w:customStyle="1" w:styleId="MenuOptions">
    <w:name w:val="Menu Options"/>
    <w:basedOn w:val="DefaultParagraphFont"/>
    <w:rsid w:val="000D1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EE1"/>
    <w:rPr>
      <w:b/>
    </w:rPr>
  </w:style>
  <w:style w:type="character" w:customStyle="1" w:styleId="Underlined">
    <w:name w:val="Underlined"/>
    <w:basedOn w:val="DefaultParagraphFont"/>
    <w:rsid w:val="000D1EE1"/>
    <w:rPr>
      <w:u w:val="single"/>
    </w:rPr>
  </w:style>
  <w:style w:type="paragraph" w:customStyle="1" w:styleId="TableBodyTextRight">
    <w:name w:val="Table Body Text Right"/>
    <w:basedOn w:val="TableBodyText"/>
    <w:rsid w:val="000D1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EE1"/>
    <w:rPr>
      <w:sz w:val="18"/>
    </w:rPr>
  </w:style>
  <w:style w:type="paragraph" w:customStyle="1" w:styleId="BodySmallRight">
    <w:name w:val="Body Small Right"/>
    <w:basedOn w:val="BodyTextRight"/>
    <w:rsid w:val="000D1EE1"/>
    <w:rPr>
      <w:sz w:val="18"/>
      <w:szCs w:val="18"/>
    </w:rPr>
  </w:style>
  <w:style w:type="paragraph" w:customStyle="1" w:styleId="MarginEdition">
    <w:name w:val="Margin Edition"/>
    <w:basedOn w:val="MarginNote"/>
    <w:rsid w:val="000D1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EE1"/>
    <w:rPr>
      <w:sz w:val="2"/>
      <w:szCs w:val="2"/>
    </w:rPr>
  </w:style>
  <w:style w:type="character" w:customStyle="1" w:styleId="Small">
    <w:name w:val="Small"/>
    <w:basedOn w:val="DefaultParagraphFont"/>
    <w:rsid w:val="000D1EE1"/>
    <w:rPr>
      <w:sz w:val="16"/>
    </w:rPr>
  </w:style>
  <w:style w:type="paragraph" w:customStyle="1" w:styleId="WideTable">
    <w:name w:val="Wide Table"/>
    <w:basedOn w:val="Normal"/>
    <w:rsid w:val="000D1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EE1"/>
  </w:style>
  <w:style w:type="paragraph" w:styleId="Quote">
    <w:name w:val="Quote"/>
    <w:basedOn w:val="Heading1"/>
    <w:link w:val="QuoteChar"/>
    <w:qFormat/>
    <w:rsid w:val="000D1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EE1"/>
    <w:pPr>
      <w:pageBreakBefore/>
    </w:pPr>
  </w:style>
  <w:style w:type="paragraph" w:customStyle="1" w:styleId="Border">
    <w:name w:val="Border"/>
    <w:basedOn w:val="Normal"/>
    <w:qFormat/>
    <w:rsid w:val="000D1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EE1"/>
    <w:rPr>
      <w:u w:val="single"/>
    </w:rPr>
  </w:style>
  <w:style w:type="character" w:customStyle="1" w:styleId="BoldandItalics">
    <w:name w:val="Bold and Italics"/>
    <w:qFormat/>
    <w:rsid w:val="000D1EE1"/>
    <w:rPr>
      <w:b/>
      <w:i/>
      <w:u w:val="none"/>
    </w:rPr>
  </w:style>
  <w:style w:type="paragraph" w:styleId="BalloonText">
    <w:name w:val="Balloon Text"/>
    <w:basedOn w:val="Normal"/>
    <w:link w:val="BalloonTextChar"/>
    <w:rsid w:val="000D1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EE1"/>
    <w:pPr>
      <w:spacing w:before="0" w:after="0"/>
    </w:pPr>
  </w:style>
  <w:style w:type="paragraph" w:customStyle="1" w:styleId="BodyTextBold">
    <w:name w:val="Body Text Bold"/>
    <w:basedOn w:val="BodyText"/>
    <w:qFormat/>
    <w:rsid w:val="000D1EE1"/>
    <w:rPr>
      <w:b/>
    </w:rPr>
  </w:style>
  <w:style w:type="character" w:styleId="Hyperlink">
    <w:name w:val="Hyperlink"/>
    <w:basedOn w:val="DefaultParagraphFont"/>
    <w:uiPriority w:val="99"/>
    <w:unhideWhenUsed/>
    <w:rsid w:val="005C15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4074</Characters>
  <Application>Microsoft Office Word</Application>
  <DocSecurity>0</DocSecurity>
  <Lines>116</Lines>
  <Paragraphs>89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UETTDRIS68 Solve problems in energy supply network protection equipment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2022-10-24T04:06:00Z</dcterms:created>
  <dcterms:modified xsi:type="dcterms:W3CDTF">2022-10-24T04:06:00Z</dcterms:modified>
</cp:coreProperties>
</file>