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FBC" w:rsidP="00DA7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UETTDRIS53 Install and maintain power system public lighting</w:t>
      </w:r>
      <w:r>
        <w:fldChar w:fldCharType="end"/>
      </w:r>
    </w:p>
    <w:p w:rsidR="00DA7FBC" w:rsidP="00DA7FBC">
      <w:pPr>
        <w:pStyle w:val="Version"/>
        <w:sectPr w:rsidSect="00C71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720" w:rsidP="00C71720">
      <w:pPr>
        <w:pStyle w:val="SuperHeading"/>
      </w:pPr>
      <w:r w:rsidRPr="00C71720">
        <w:t>Assessment Requirements for UETTDRIS53 Install and maintain power system public lighting</w:t>
      </w:r>
    </w:p>
    <w:p w:rsidR="00000000" w:rsidRPr="00C71720" w:rsidP="00C71720">
      <w:pPr>
        <w:pStyle w:val="Heading1"/>
      </w:pPr>
      <w:bookmarkStart w:id="1" w:name="O_1003412"/>
      <w:bookmarkEnd w:id="1"/>
      <w:r w:rsidRPr="00C717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720" w:rsidP="00C71720">
            <w:pPr>
              <w:pStyle w:val="BodyText"/>
            </w:pPr>
            <w:r w:rsidRPr="00C7172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71720" w:rsidP="00C71720">
      <w:pPr>
        <w:pStyle w:val="NoPaddingFontSize1"/>
      </w:pPr>
    </w:p>
    <w:p w:rsidR="00000000" w:rsidRPr="00C71720" w:rsidP="00C71720">
      <w:pPr>
        <w:pStyle w:val="AllowPageBreak"/>
      </w:pPr>
    </w:p>
    <w:p w:rsidR="00000000" w:rsidRPr="00C71720" w:rsidP="00C71720">
      <w:pPr>
        <w:pStyle w:val="Heading1"/>
      </w:pPr>
      <w:bookmarkStart w:id="2" w:name="O_1003413"/>
      <w:bookmarkEnd w:id="2"/>
      <w:r w:rsidRPr="00C717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720">
            <w:pPr>
              <w:pStyle w:val="BodyText"/>
              <w:rPr>
                <w:lang w:val="en-NZ"/>
              </w:rPr>
            </w:pPr>
            <w:r w:rsidRPr="00C71720">
              <w:t>Evidence required to demonstrate competence in this unit must be relevant to a</w:t>
            </w:r>
            <w:r w:rsidRPr="00C71720">
              <w:t xml:space="preserve">nd satisfy all of the requirements of the elements and performance criteria on at least two separate occasions and include:  </w:t>
            </w:r>
          </w:p>
        </w:tc>
      </w:tr>
      <w:tr w:rsidTr="00C71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720" w:rsidP="00C71720">
            <w:pPr>
              <w:pStyle w:val="ListBullet"/>
            </w:pPr>
            <w:r w:rsidRPr="00C71720">
              <w:t>applying relevant work health and safety (WHS)/occupational health and safety (OHS) requirements, including the use of risk cont</w:t>
            </w:r>
            <w:r w:rsidRPr="00C71720">
              <w:t xml:space="preserve">rol measures </w:t>
            </w:r>
          </w:p>
          <w:p w:rsidR="00000000" w:rsidRPr="00C71720" w:rsidP="00C71720">
            <w:pPr>
              <w:pStyle w:val="ListBullet"/>
            </w:pPr>
            <w:r w:rsidRPr="00C71720">
              <w:t>applying sustainable energy principles and practices</w:t>
            </w:r>
          </w:p>
          <w:p w:rsidR="00000000" w:rsidRPr="00C71720" w:rsidP="00C71720">
            <w:pPr>
              <w:pStyle w:val="ListBullet"/>
            </w:pPr>
            <w:r w:rsidRPr="00C71720">
              <w:tab/>
              <w:t>installing and maintaining public lighting poles/columns at least one (1) of the following:</w:t>
            </w:r>
          </w:p>
          <w:p w:rsidR="00000000" w:rsidRPr="00C71720" w:rsidP="00C71720">
            <w:pPr>
              <w:pStyle w:val="ListBullet2"/>
            </w:pPr>
            <w:r w:rsidRPr="00C71720">
              <w:t>wood</w:t>
            </w:r>
          </w:p>
          <w:p w:rsidR="00000000" w:rsidRPr="00C71720" w:rsidP="00C71720">
            <w:pPr>
              <w:pStyle w:val="ListBullet2"/>
            </w:pPr>
            <w:r w:rsidRPr="00C71720">
              <w:t>concrete</w:t>
            </w:r>
          </w:p>
          <w:p w:rsidR="00000000" w:rsidRPr="00C71720" w:rsidP="00C71720">
            <w:pPr>
              <w:pStyle w:val="ListBullet2"/>
            </w:pPr>
            <w:r w:rsidRPr="00C71720">
              <w:t>steel</w:t>
            </w:r>
          </w:p>
          <w:p w:rsidR="00000000" w:rsidRPr="00C71720" w:rsidP="00C71720">
            <w:pPr>
              <w:pStyle w:val="ListBullet2"/>
            </w:pPr>
            <w:r w:rsidRPr="00C71720">
              <w:t>composite</w:t>
            </w:r>
          </w:p>
          <w:p w:rsidR="00000000" w:rsidRPr="00C71720" w:rsidP="00C71720">
            <w:pPr>
              <w:pStyle w:val="ListBullet"/>
            </w:pPr>
            <w:r w:rsidRPr="00C71720">
              <w:tab/>
            </w:r>
            <w:r w:rsidRPr="00C71720">
              <w:t>installing or and maintaining public lighting lanterns/luminaires, including at least two (2) of the following:</w:t>
            </w:r>
          </w:p>
          <w:p w:rsidR="00000000" w:rsidRPr="00C71720" w:rsidP="00C71720">
            <w:pPr>
              <w:pStyle w:val="ListBullet2"/>
            </w:pPr>
            <w:r w:rsidRPr="00C71720">
              <w:t>high pressure mercury vapour</w:t>
            </w:r>
          </w:p>
          <w:p w:rsidR="00000000" w:rsidRPr="00C71720" w:rsidP="00C71720">
            <w:pPr>
              <w:pStyle w:val="ListBullet2"/>
            </w:pPr>
            <w:r w:rsidRPr="00C71720">
              <w:t>low pressure and high pressure sodium vapour</w:t>
            </w:r>
          </w:p>
          <w:p w:rsidR="00000000" w:rsidRPr="00C71720" w:rsidP="00C71720">
            <w:pPr>
              <w:pStyle w:val="ListBullet2"/>
            </w:pPr>
            <w:r w:rsidRPr="00C71720">
              <w:t>fluorescent</w:t>
            </w:r>
          </w:p>
          <w:p w:rsidR="00000000" w:rsidRPr="00C71720" w:rsidP="00C71720">
            <w:pPr>
              <w:pStyle w:val="ListBullet2"/>
            </w:pPr>
            <w:r w:rsidRPr="00C71720">
              <w:t>quartz-halogen</w:t>
            </w:r>
          </w:p>
          <w:p w:rsidR="00000000" w:rsidRPr="00C71720" w:rsidP="00C71720">
            <w:pPr>
              <w:pStyle w:val="ListBullet"/>
            </w:pPr>
            <w:r w:rsidRPr="00C71720">
              <w:t>using specialist testing equipment, inclu</w:t>
            </w:r>
            <w:r w:rsidRPr="00C71720">
              <w:t>ding at least three (3) of the following:</w:t>
            </w:r>
          </w:p>
          <w:p w:rsidR="00000000" w:rsidRPr="00C71720" w:rsidP="00C71720">
            <w:pPr>
              <w:pStyle w:val="ListBullet2"/>
            </w:pPr>
            <w:r w:rsidRPr="00C71720">
              <w:t>voltage detectors*</w:t>
            </w:r>
          </w:p>
          <w:p w:rsidR="00000000" w:rsidRPr="00C71720" w:rsidP="00C71720">
            <w:pPr>
              <w:pStyle w:val="ListBullet2"/>
            </w:pPr>
            <w:r w:rsidRPr="00C71720">
              <w:t>insulation resistance testers</w:t>
            </w:r>
          </w:p>
          <w:p w:rsidR="00000000" w:rsidRPr="00C71720" w:rsidP="00C71720">
            <w:pPr>
              <w:pStyle w:val="ListBullet2"/>
            </w:pPr>
            <w:r w:rsidRPr="00C71720">
              <w:t>clamp-on ammeters</w:t>
            </w:r>
          </w:p>
          <w:p w:rsidR="00000000" w:rsidRPr="00C71720" w:rsidP="00C71720">
            <w:pPr>
              <w:pStyle w:val="ListBullet2"/>
            </w:pPr>
            <w:r w:rsidRPr="00C71720">
              <w:t>continuity testers</w:t>
            </w:r>
          </w:p>
          <w:p w:rsidR="00000000" w:rsidRPr="00C71720" w:rsidP="00C71720">
            <w:pPr>
              <w:pStyle w:val="ListBullet2"/>
            </w:pPr>
            <w:r w:rsidRPr="00C71720">
              <w:t>fault indicators</w:t>
            </w:r>
          </w:p>
          <w:p w:rsidR="00000000" w:rsidRPr="00C71720" w:rsidP="00C71720">
            <w:pPr>
              <w:pStyle w:val="ListBullet2"/>
            </w:pPr>
            <w:r w:rsidRPr="00C71720">
              <w:t>(* must use)</w:t>
            </w:r>
          </w:p>
          <w:p w:rsidR="00000000" w:rsidRPr="00C71720" w:rsidP="00C71720">
            <w:pPr>
              <w:pStyle w:val="ListBullet"/>
            </w:pPr>
            <w:r w:rsidRPr="00C71720">
              <w:t>dealing with unplanned events on at least one (1) occasion.</w:t>
            </w:r>
          </w:p>
        </w:tc>
      </w:tr>
    </w:tbl>
    <w:p w:rsidR="00000000" w:rsidRPr="00C71720" w:rsidP="00C71720">
      <w:pPr>
        <w:pStyle w:val="NoPaddingFontSize1"/>
      </w:pPr>
    </w:p>
    <w:p w:rsidR="00000000" w:rsidRPr="00C71720" w:rsidP="00C71720">
      <w:pPr>
        <w:pStyle w:val="AllowPageBreak"/>
      </w:pPr>
    </w:p>
    <w:p w:rsidR="00000000" w:rsidRPr="00C71720" w:rsidP="00C71720">
      <w:pPr>
        <w:pStyle w:val="Heading1"/>
      </w:pPr>
      <w:bookmarkStart w:id="3" w:name="O_1003414"/>
      <w:bookmarkEnd w:id="3"/>
      <w:r w:rsidRPr="00C71720">
        <w:t>Knowledge E</w:t>
      </w:r>
      <w:r w:rsidRPr="00C71720">
        <w:t>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720">
            <w:pPr>
              <w:pStyle w:val="BodyText"/>
              <w:rPr>
                <w:lang w:val="en-NZ"/>
              </w:rPr>
            </w:pPr>
            <w:r w:rsidRPr="00C7172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71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720" w:rsidP="00C71720">
            <w:pPr>
              <w:pStyle w:val="ListBullet"/>
            </w:pPr>
            <w:r w:rsidRPr="00C71720">
              <w:t>standards, codes, legislation, supply authority regulations, local government and/or enterprise requirements pertaining to the installation and maintenance of public lighting systems and associated equipment</w:t>
            </w:r>
          </w:p>
          <w:p w:rsidR="00000000" w:rsidRPr="00C71720" w:rsidP="00C71720">
            <w:pPr>
              <w:pStyle w:val="ListBullet"/>
            </w:pPr>
            <w:r w:rsidRPr="00C71720">
              <w:t>requirements for the use of enterprise construct</w:t>
            </w:r>
            <w:r w:rsidRPr="00C71720">
              <w:t>ion manuals, system diagrams/plans and drawings, including:</w:t>
            </w:r>
          </w:p>
          <w:p w:rsidR="00000000" w:rsidRPr="00C71720" w:rsidP="00C71720">
            <w:pPr>
              <w:pStyle w:val="ListBullet2"/>
            </w:pPr>
            <w:r w:rsidRPr="00C71720">
              <w:t>street lighting circuits</w:t>
            </w:r>
          </w:p>
          <w:p w:rsidR="00000000" w:rsidRPr="00C71720" w:rsidP="00C71720">
            <w:pPr>
              <w:pStyle w:val="ListBullet2"/>
            </w:pPr>
            <w:r w:rsidRPr="00C71720">
              <w:t>earthing system</w:t>
            </w:r>
          </w:p>
          <w:p w:rsidR="00000000" w:rsidRPr="00C71720" w:rsidP="00C71720">
            <w:pPr>
              <w:pStyle w:val="ListBullet"/>
            </w:pPr>
            <w:r w:rsidRPr="00C71720">
              <w:t>types of tools and equipment used for installation and maintenance</w:t>
            </w:r>
          </w:p>
          <w:p w:rsidR="00000000" w:rsidRPr="00C71720" w:rsidP="00C71720">
            <w:pPr>
              <w:pStyle w:val="ListBullet"/>
            </w:pPr>
            <w:r w:rsidRPr="00C71720">
              <w:t>types and function of lanterns/luminaires/lamps, control equipment, poles and associat</w:t>
            </w:r>
            <w:r w:rsidRPr="00C71720">
              <w:t>ed hardware used for street lighting, such as:</w:t>
            </w:r>
          </w:p>
          <w:p w:rsidR="00000000" w:rsidRPr="00C71720" w:rsidP="00C71720">
            <w:pPr>
              <w:pStyle w:val="ListBullet2"/>
            </w:pPr>
            <w:r w:rsidRPr="00C71720">
              <w:t>high pressure mercury vapour, low pressure and high pressure sodium vapour, fluorescent, quartz-halogen, wood, concrete, steel, composite, choke boxes, photo-electric cells, time switches and contactor boxes</w:t>
            </w:r>
          </w:p>
          <w:p w:rsidR="00000000" w:rsidRPr="00C71720" w:rsidP="00C71720">
            <w:pPr>
              <w:pStyle w:val="ListBullet"/>
            </w:pPr>
            <w:r w:rsidRPr="00C71720">
              <w:t>types of lighting systems, including:</w:t>
            </w:r>
          </w:p>
          <w:p w:rsidR="00000000" w:rsidRPr="00C71720" w:rsidP="00C71720">
            <w:pPr>
              <w:pStyle w:val="ListBullet2"/>
            </w:pPr>
            <w:r w:rsidRPr="00C71720">
              <w:t>overhead and underground street lighting systems</w:t>
            </w:r>
          </w:p>
          <w:p w:rsidR="00000000" w:rsidRPr="00C71720" w:rsidP="00C71720">
            <w:pPr>
              <w:pStyle w:val="ListBullet2"/>
            </w:pPr>
            <w:r w:rsidRPr="00C71720">
              <w:t>controlling and switching of lighting systems</w:t>
            </w:r>
          </w:p>
          <w:p w:rsidR="00000000" w:rsidRPr="00C71720" w:rsidP="00C71720">
            <w:pPr>
              <w:pStyle w:val="ListBullet"/>
            </w:pPr>
            <w:r w:rsidRPr="00C71720">
              <w:t>techniques for the installation of street lighting systems</w:t>
            </w:r>
          </w:p>
          <w:p w:rsidR="00000000" w:rsidRPr="00C71720" w:rsidP="00C71720">
            <w:pPr>
              <w:pStyle w:val="ListBullet"/>
            </w:pPr>
            <w:r w:rsidRPr="00C71720">
              <w:t>techniques for the maintenance of street lighting systems, su</w:t>
            </w:r>
            <w:r w:rsidRPr="00C71720">
              <w:t>ch as:</w:t>
            </w:r>
          </w:p>
          <w:p w:rsidR="00000000" w:rsidRPr="00C71720" w:rsidP="00C71720">
            <w:pPr>
              <w:pStyle w:val="ListBullet2"/>
            </w:pPr>
            <w:r w:rsidRPr="00C71720">
              <w:t>diagnosing of faults; removing, repairing, replacing and cleaning of public lighting and associated hardware</w:t>
            </w:r>
          </w:p>
          <w:p w:rsidR="00000000" w:rsidRPr="00C71720" w:rsidP="00C71720">
            <w:pPr>
              <w:pStyle w:val="ListBullet"/>
            </w:pPr>
            <w:r w:rsidRPr="00C71720">
              <w:t>application of specific testing equipment, such as:</w:t>
            </w:r>
          </w:p>
          <w:p w:rsidR="00000000" w:rsidRPr="00C71720" w:rsidP="00C71720">
            <w:pPr>
              <w:pStyle w:val="ListBullet2"/>
            </w:pPr>
            <w:r w:rsidRPr="00C71720">
              <w:t>voltage detectors, insulation resistance testers, clamp-on ammeters, continuity teste</w:t>
            </w:r>
            <w:r w:rsidRPr="00C71720">
              <w:t>rs and fault indictors</w:t>
            </w:r>
          </w:p>
          <w:p w:rsidR="00000000" w:rsidRPr="00C71720" w:rsidP="00C71720">
            <w:pPr>
              <w:pStyle w:val="ListBullet"/>
            </w:pPr>
            <w:r w:rsidRPr="00C71720">
              <w:t>techniques for the inspection, testing and commissioning of street lighting systems.</w:t>
            </w:r>
          </w:p>
        </w:tc>
      </w:tr>
    </w:tbl>
    <w:p w:rsidR="00000000" w:rsidRPr="00C71720" w:rsidP="00C71720">
      <w:pPr>
        <w:pStyle w:val="NoPaddingFontSize1"/>
      </w:pPr>
    </w:p>
    <w:p w:rsidR="00000000" w:rsidRPr="00C71720" w:rsidP="00C71720">
      <w:pPr>
        <w:pStyle w:val="AllowPageBreak"/>
      </w:pPr>
    </w:p>
    <w:p w:rsidR="00000000" w:rsidRPr="00C71720" w:rsidP="00C71720">
      <w:pPr>
        <w:pStyle w:val="Heading1"/>
      </w:pPr>
      <w:bookmarkStart w:id="4" w:name="O_1003415"/>
      <w:bookmarkEnd w:id="4"/>
      <w:r w:rsidRPr="00C717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1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720" w:rsidP="00C71720">
            <w:pPr>
              <w:pStyle w:val="BodyText"/>
            </w:pPr>
            <w:r w:rsidRPr="00C71720">
              <w:t>Assessors must hold credentials specified within the Standards for Registered Training Organisations current at the time of assessment.</w:t>
            </w:r>
          </w:p>
          <w:p w:rsidR="00000000" w:rsidRPr="00C71720" w:rsidP="00C71720">
            <w:pPr>
              <w:pStyle w:val="BodyText"/>
            </w:pPr>
            <w:r w:rsidRPr="00C71720">
              <w:t>Assessment must satisfy the Principles of Assessment and Rules of Evidence and all regulatory requirements included with</w:t>
            </w:r>
            <w:r w:rsidRPr="00C71720">
              <w:t>in the Standards for Registered Training Organisations current at the time of assessment.</w:t>
            </w:r>
          </w:p>
          <w:p w:rsidR="00000000" w:rsidRPr="00C71720" w:rsidP="00C71720">
            <w:pPr>
              <w:pStyle w:val="BodyText"/>
            </w:pPr>
            <w:r w:rsidRPr="00C71720">
              <w:t>Assessment must occur in workplace operational situations where it is appropriate to do so; where this is not appropriate, assessment must occur in simulated conditio</w:t>
            </w:r>
            <w:r w:rsidRPr="00C71720">
              <w:t>ns involving realistic and authentic activities that replicate operational workplace conditions.</w:t>
            </w:r>
          </w:p>
          <w:p w:rsidR="00000000" w:rsidRPr="00C71720" w:rsidP="00C71720">
            <w:pPr>
              <w:pStyle w:val="BodyText"/>
            </w:pPr>
            <w:r w:rsidRPr="00C71720">
              <w:t>Assessment processes and techniques must be appropriate to the language, literacy and numeracy requirements of the work being performed and the needs of the ca</w:t>
            </w:r>
            <w:r w:rsidRPr="00C71720">
              <w:t>ndidate.</w:t>
            </w:r>
          </w:p>
          <w:p w:rsidR="00000000" w:rsidRPr="00C71720" w:rsidP="00C71720">
            <w:pPr>
              <w:pStyle w:val="BodyText"/>
            </w:pPr>
            <w:r w:rsidRPr="00C71720">
              <w:t>Resources for assessment must include access to:</w:t>
            </w:r>
          </w:p>
          <w:p w:rsidR="00000000" w:rsidRPr="00C71720" w:rsidP="00C71720">
            <w:pPr>
              <w:pStyle w:val="ListBullet"/>
            </w:pPr>
            <w:r w:rsidRPr="00C71720">
              <w:t>a range of relevant exercises, case studies and/or other simulations</w:t>
            </w:r>
          </w:p>
          <w:p w:rsidR="00000000" w:rsidRPr="00C71720" w:rsidP="00C71720">
            <w:pPr>
              <w:pStyle w:val="ListBullet"/>
            </w:pPr>
            <w:r w:rsidRPr="00C71720">
              <w:t>relevant and appropriate materials, tools, facilities, equipment and personal protective equipment (PPE) currently used in indus</w:t>
            </w:r>
            <w:r w:rsidRPr="00C71720">
              <w:t>try for installing and maintaining power system public lighting</w:t>
            </w:r>
          </w:p>
          <w:p w:rsidR="00000000" w:rsidRPr="00C71720" w:rsidP="00C71720">
            <w:pPr>
              <w:pStyle w:val="ListBullet"/>
            </w:pPr>
            <w:r w:rsidRPr="00C71720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C71720" w:rsidP="00C71720">
      <w:pPr>
        <w:pStyle w:val="NoPaddingFontSize1"/>
      </w:pPr>
    </w:p>
    <w:p w:rsidR="00000000" w:rsidRPr="00C71720" w:rsidP="00C71720">
      <w:pPr>
        <w:pStyle w:val="AllowPageBreak"/>
      </w:pPr>
    </w:p>
    <w:p w:rsidR="00000000" w:rsidRPr="00C71720" w:rsidP="00C71720">
      <w:pPr>
        <w:pStyle w:val="Heading1"/>
      </w:pPr>
      <w:bookmarkStart w:id="5" w:name="O_1003418"/>
      <w:bookmarkEnd w:id="5"/>
      <w:r w:rsidRPr="00C71720">
        <w:t>Link</w:t>
      </w:r>
      <w:r w:rsidRPr="00C71720">
        <w:t>s</w:t>
      </w:r>
    </w:p>
    <w:p w:rsidR="00000000" w:rsidRPr="00C71720" w:rsidP="00DA7FBC">
      <w:pPr>
        <w:pStyle w:val="BodyText"/>
      </w:pPr>
      <w:r w:rsidRPr="00C7172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6048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71720" w:rsidP="00C71720"/>
    <w:sectPr w:rsidSect="00C717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20" w:rsidRPr="00DA7FBC" w:rsidP="00DA7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BC" w:rsidP="00C71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FBC" w:rsidP="00C71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7FBC" w:rsidP="00C71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720" w:rsidRPr="00DA7FBC" w:rsidP="00DA7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FBC" w:rsidRPr="002D2AF8" w:rsidP="00C71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UETTDRIS53 Install and maintain power system public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A7FBC" w:rsidP="00C71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00C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F43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87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720"/>
  </w:style>
  <w:style w:type="character" w:customStyle="1" w:styleId="Heading1Char">
    <w:name w:val="Heading 1 Char"/>
    <w:basedOn w:val="DefaultParagraphFont"/>
    <w:link w:val="Heading1"/>
    <w:rsid w:val="00C71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7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7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17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1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1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7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1720"/>
    <w:rPr>
      <w:b/>
      <w:spacing w:val="0"/>
    </w:rPr>
  </w:style>
  <w:style w:type="paragraph" w:customStyle="1" w:styleId="SuperTitle">
    <w:name w:val="SuperTitle"/>
    <w:basedOn w:val="Title"/>
    <w:rsid w:val="00C71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1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7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720"/>
    <w:rPr>
      <w:i/>
    </w:rPr>
  </w:style>
  <w:style w:type="paragraph" w:styleId="Caption">
    <w:name w:val="caption"/>
    <w:basedOn w:val="BodyText"/>
    <w:next w:val="Normal"/>
    <w:qFormat/>
    <w:rsid w:val="00C71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720"/>
  </w:style>
  <w:style w:type="paragraph" w:styleId="TableofFigures">
    <w:name w:val="table of figures"/>
    <w:basedOn w:val="Normal"/>
    <w:next w:val="Normal"/>
    <w:semiHidden/>
    <w:rsid w:val="00C71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7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1720"/>
    <w:rPr>
      <w:rFonts w:ascii="Wingdings" w:hAnsi="Wingdings"/>
    </w:rPr>
  </w:style>
  <w:style w:type="paragraph" w:customStyle="1" w:styleId="TableHeading">
    <w:name w:val="Table Heading"/>
    <w:basedOn w:val="HeadingBase"/>
    <w:rsid w:val="00C71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720"/>
    <w:rPr>
      <w:color w:val="0033CC"/>
      <w:u w:val="none"/>
    </w:rPr>
  </w:style>
  <w:style w:type="paragraph" w:customStyle="1" w:styleId="BodyTextRight">
    <w:name w:val="Body Text Right"/>
    <w:basedOn w:val="BodyText"/>
    <w:rsid w:val="00C71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7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720"/>
    <w:rPr>
      <w:sz w:val="32"/>
    </w:rPr>
  </w:style>
  <w:style w:type="paragraph" w:customStyle="1" w:styleId="HeadingProcedure">
    <w:name w:val="Heading Procedure"/>
    <w:basedOn w:val="HeadingBase"/>
    <w:next w:val="Normal"/>
    <w:rsid w:val="00C71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720"/>
    <w:pPr>
      <w:spacing w:before="60" w:after="60"/>
    </w:pPr>
  </w:style>
  <w:style w:type="paragraph" w:styleId="ListContinue">
    <w:name w:val="List Continue"/>
    <w:basedOn w:val="List"/>
    <w:rsid w:val="00C71720"/>
    <w:pPr>
      <w:ind w:firstLine="0"/>
    </w:pPr>
  </w:style>
  <w:style w:type="paragraph" w:customStyle="1" w:styleId="ListNote">
    <w:name w:val="List Note"/>
    <w:basedOn w:val="List"/>
    <w:rsid w:val="00C71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720"/>
    <w:rPr>
      <w:rFonts w:ascii="Courier New" w:hAnsi="Courier New"/>
    </w:rPr>
  </w:style>
  <w:style w:type="paragraph" w:customStyle="1" w:styleId="NoteBullet">
    <w:name w:val="Note Bullet"/>
    <w:basedOn w:val="Note"/>
    <w:rsid w:val="00C71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7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1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720"/>
    <w:rPr>
      <w:b/>
      <w:smallCaps/>
    </w:rPr>
  </w:style>
  <w:style w:type="paragraph" w:customStyle="1" w:styleId="TableListNumber">
    <w:name w:val="Table List Number"/>
    <w:basedOn w:val="ListNumber"/>
    <w:rsid w:val="00C71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720"/>
    <w:pPr>
      <w:numPr>
        <w:numId w:val="9"/>
      </w:numPr>
    </w:pPr>
  </w:style>
  <w:style w:type="paragraph" w:customStyle="1" w:styleId="ListAlpha2">
    <w:name w:val="List Alpha 2"/>
    <w:basedOn w:val="List2"/>
    <w:rsid w:val="00C71720"/>
    <w:pPr>
      <w:numPr>
        <w:numId w:val="8"/>
      </w:numPr>
    </w:pPr>
  </w:style>
  <w:style w:type="paragraph" w:styleId="List2">
    <w:name w:val="List 2"/>
    <w:basedOn w:val="BodyText"/>
    <w:rsid w:val="00C71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7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7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1720"/>
    <w:pPr>
      <w:numPr>
        <w:numId w:val="4"/>
      </w:numPr>
    </w:pPr>
  </w:style>
  <w:style w:type="paragraph" w:styleId="ListContinue2">
    <w:name w:val="List Continue 2"/>
    <w:basedOn w:val="List2"/>
    <w:rsid w:val="00C71720"/>
    <w:pPr>
      <w:ind w:firstLine="0"/>
    </w:pPr>
  </w:style>
  <w:style w:type="paragraph" w:styleId="ListContinue3">
    <w:name w:val="List Continue 3"/>
    <w:basedOn w:val="List3"/>
    <w:rsid w:val="00C71720"/>
    <w:pPr>
      <w:ind w:left="1021" w:firstLine="0"/>
    </w:pPr>
  </w:style>
  <w:style w:type="paragraph" w:styleId="ListContinue4">
    <w:name w:val="List Continue 4"/>
    <w:basedOn w:val="List4"/>
    <w:rsid w:val="00C71720"/>
    <w:pPr>
      <w:ind w:firstLine="0"/>
    </w:pPr>
  </w:style>
  <w:style w:type="paragraph" w:styleId="ListContinue5">
    <w:name w:val="List Continue 5"/>
    <w:basedOn w:val="List5"/>
    <w:rsid w:val="00C71720"/>
    <w:pPr>
      <w:ind w:firstLine="0"/>
    </w:pPr>
  </w:style>
  <w:style w:type="paragraph" w:styleId="ListNumber3">
    <w:name w:val="List Number 3"/>
    <w:basedOn w:val="List3"/>
    <w:rsid w:val="00C71720"/>
    <w:pPr>
      <w:numPr>
        <w:numId w:val="5"/>
      </w:numPr>
    </w:pPr>
  </w:style>
  <w:style w:type="paragraph" w:styleId="ListNumber4">
    <w:name w:val="List Number 4"/>
    <w:basedOn w:val="List4"/>
    <w:rsid w:val="00C71720"/>
    <w:pPr>
      <w:numPr>
        <w:numId w:val="6"/>
      </w:numPr>
    </w:pPr>
  </w:style>
  <w:style w:type="paragraph" w:styleId="ListNumber5">
    <w:name w:val="List Number 5"/>
    <w:basedOn w:val="List5"/>
    <w:rsid w:val="00C71720"/>
    <w:pPr>
      <w:numPr>
        <w:numId w:val="7"/>
      </w:numPr>
    </w:pPr>
  </w:style>
  <w:style w:type="paragraph" w:styleId="BlockText">
    <w:name w:val="Block Text"/>
    <w:basedOn w:val="Normal"/>
    <w:rsid w:val="00C71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720"/>
    <w:rPr>
      <w:sz w:val="16"/>
      <w:vertAlign w:val="superscript"/>
    </w:rPr>
  </w:style>
  <w:style w:type="character" w:customStyle="1" w:styleId="Symbols">
    <w:name w:val="Symbols"/>
    <w:basedOn w:val="DefaultParagraphFont"/>
    <w:rsid w:val="00C71720"/>
    <w:rPr>
      <w:rFonts w:ascii="Symbol" w:hAnsi="Symbol"/>
    </w:rPr>
  </w:style>
  <w:style w:type="character" w:customStyle="1" w:styleId="MenuOptions">
    <w:name w:val="Menu Options"/>
    <w:basedOn w:val="DefaultParagraphFont"/>
    <w:rsid w:val="00C71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720"/>
    <w:rPr>
      <w:b/>
    </w:rPr>
  </w:style>
  <w:style w:type="character" w:customStyle="1" w:styleId="Underlined">
    <w:name w:val="Underlined"/>
    <w:basedOn w:val="DefaultParagraphFont"/>
    <w:rsid w:val="00C71720"/>
    <w:rPr>
      <w:u w:val="single"/>
    </w:rPr>
  </w:style>
  <w:style w:type="paragraph" w:customStyle="1" w:styleId="TableBodyTextRight">
    <w:name w:val="Table Body Text Right"/>
    <w:basedOn w:val="TableBodyText"/>
    <w:rsid w:val="00C71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720"/>
    <w:rPr>
      <w:sz w:val="18"/>
    </w:rPr>
  </w:style>
  <w:style w:type="paragraph" w:customStyle="1" w:styleId="BodySmallRight">
    <w:name w:val="Body Small Right"/>
    <w:basedOn w:val="BodyTextRight"/>
    <w:rsid w:val="00C71720"/>
    <w:rPr>
      <w:sz w:val="18"/>
      <w:szCs w:val="18"/>
    </w:rPr>
  </w:style>
  <w:style w:type="paragraph" w:customStyle="1" w:styleId="MarginEdition">
    <w:name w:val="Margin Edition"/>
    <w:basedOn w:val="MarginNote"/>
    <w:rsid w:val="00C71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720"/>
    <w:rPr>
      <w:sz w:val="2"/>
      <w:szCs w:val="2"/>
    </w:rPr>
  </w:style>
  <w:style w:type="character" w:customStyle="1" w:styleId="Small">
    <w:name w:val="Small"/>
    <w:basedOn w:val="DefaultParagraphFont"/>
    <w:rsid w:val="00C71720"/>
    <w:rPr>
      <w:sz w:val="16"/>
    </w:rPr>
  </w:style>
  <w:style w:type="paragraph" w:customStyle="1" w:styleId="WideTable">
    <w:name w:val="Wide Table"/>
    <w:basedOn w:val="Normal"/>
    <w:rsid w:val="00C71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720"/>
  </w:style>
  <w:style w:type="paragraph" w:styleId="Quote">
    <w:name w:val="Quote"/>
    <w:basedOn w:val="Heading1"/>
    <w:link w:val="QuoteChar"/>
    <w:qFormat/>
    <w:rsid w:val="00C71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720"/>
    <w:pPr>
      <w:pageBreakBefore/>
    </w:pPr>
  </w:style>
  <w:style w:type="paragraph" w:customStyle="1" w:styleId="Border">
    <w:name w:val="Border"/>
    <w:basedOn w:val="Normal"/>
    <w:qFormat/>
    <w:rsid w:val="00C71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720"/>
    <w:rPr>
      <w:u w:val="single"/>
    </w:rPr>
  </w:style>
  <w:style w:type="character" w:customStyle="1" w:styleId="BoldandItalics">
    <w:name w:val="Bold and Italics"/>
    <w:qFormat/>
    <w:rsid w:val="00C71720"/>
    <w:rPr>
      <w:b/>
      <w:i/>
      <w:u w:val="none"/>
    </w:rPr>
  </w:style>
  <w:style w:type="paragraph" w:styleId="BalloonText">
    <w:name w:val="Balloon Text"/>
    <w:basedOn w:val="Normal"/>
    <w:link w:val="BalloonTextChar"/>
    <w:rsid w:val="00C71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720"/>
    <w:pPr>
      <w:spacing w:before="0" w:after="0"/>
    </w:pPr>
  </w:style>
  <w:style w:type="paragraph" w:customStyle="1" w:styleId="BodyTextBold">
    <w:name w:val="Body Text Bold"/>
    <w:basedOn w:val="BodyText"/>
    <w:qFormat/>
    <w:rsid w:val="00C71720"/>
    <w:rPr>
      <w:b/>
    </w:rPr>
  </w:style>
  <w:style w:type="character" w:styleId="Hyperlink">
    <w:name w:val="Hyperlink"/>
    <w:basedOn w:val="DefaultParagraphFont"/>
    <w:uiPriority w:val="99"/>
    <w:unhideWhenUsed/>
    <w:rsid w:val="00DA7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3980</Characters>
  <Application>Microsoft Office Word</Application>
  <DocSecurity>0</DocSecurity>
  <Lines>97</Lines>
  <Paragraphs>66</Paragraphs>
  <ScaleCrop>false</ScaleCrop>
  <Company>Author-it Software Corporation Ltd.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UETTDRIS53 Install and maintain power system public lighting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