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203" w:rsidP="00BC4203">
      <w:pPr>
        <w:pStyle w:val="Title"/>
      </w:pPr>
      <w:r>
        <w:fldChar w:fldCharType="begin"/>
      </w:r>
      <w:r>
        <w:instrText xml:space="preserve"> TITLE   \* MERGEFORMAT </w:instrText>
      </w:r>
      <w:r>
        <w:fldChar w:fldCharType="separate"/>
      </w:r>
      <w:r>
        <w:t>Assessment Requirements for UETTDRIS48 Develop high voltage switching schedule</w:t>
      </w:r>
      <w:r>
        <w:fldChar w:fldCharType="end"/>
      </w:r>
    </w:p>
    <w:p w:rsidR="00BC4203" w:rsidP="00BC4203">
      <w:pPr>
        <w:pStyle w:val="Version"/>
        <w:sectPr w:rsidSect="00711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A78" w:rsidP="00711A78">
      <w:pPr>
        <w:pStyle w:val="SuperHeading"/>
      </w:pPr>
      <w:r w:rsidRPr="00711A78">
        <w:t>Assessment Requirements for UETTDRIS48 Develop high voltage switching schedule</w:t>
      </w:r>
    </w:p>
    <w:p w:rsidR="00000000" w:rsidRPr="00711A78" w:rsidP="00711A78">
      <w:pPr>
        <w:pStyle w:val="Heading1"/>
      </w:pPr>
      <w:bookmarkStart w:id="1" w:name="O_1003317"/>
      <w:bookmarkEnd w:id="1"/>
      <w:r w:rsidRPr="00711A78">
        <w:t>Modification History</w:t>
      </w:r>
    </w:p>
    <w:tbl>
      <w:tblPr>
        <w:tblW w:w="9497" w:type="dxa"/>
        <w:tblLayout w:type="fixed"/>
        <w:tblCellMar>
          <w:left w:w="62" w:type="dxa"/>
          <w:right w:w="62" w:type="dxa"/>
        </w:tblCellMar>
        <w:tblLook w:val="0000"/>
      </w:tblPr>
      <w:tblGrid>
        <w:gridCol w:w="9497"/>
      </w:tblGrid>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A78" w:rsidP="00711A78">
            <w:pPr>
              <w:pStyle w:val="BodyText"/>
            </w:pPr>
            <w:r w:rsidRPr="00711A78">
              <w:t>Release 1. This is the first release of this unit of competency in the UET Transmission, Distribution and Rail Sector Training Package.</w:t>
            </w:r>
          </w:p>
        </w:tc>
      </w:tr>
    </w:tbl>
    <w:p w:rsidR="00000000" w:rsidRPr="00711A78" w:rsidP="00711A78">
      <w:pPr>
        <w:pStyle w:val="NoPaddingFontSize1"/>
      </w:pPr>
    </w:p>
    <w:p w:rsidR="00000000" w:rsidRPr="00711A78" w:rsidP="00711A78">
      <w:pPr>
        <w:pStyle w:val="AllowPageBreak"/>
      </w:pPr>
    </w:p>
    <w:p w:rsidR="00000000" w:rsidRPr="00711A78" w:rsidP="00711A78">
      <w:pPr>
        <w:pStyle w:val="Heading1"/>
      </w:pPr>
      <w:bookmarkStart w:id="2" w:name="O_1003318"/>
      <w:bookmarkEnd w:id="2"/>
      <w:r w:rsidRPr="00711A78">
        <w:t>Performance Evidence</w:t>
      </w:r>
    </w:p>
    <w:tbl>
      <w:tblPr>
        <w:tblW w:w="9497" w:type="dxa"/>
        <w:tblLayout w:type="fixed"/>
        <w:tblCellMar>
          <w:left w:w="62" w:type="dxa"/>
          <w:right w:w="62" w:type="dxa"/>
        </w:tblCellMar>
        <w:tblLook w:val="0000"/>
      </w:tblPr>
      <w:tblGrid>
        <w:gridCol w:w="9497"/>
      </w:tblGrid>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1A78">
            <w:pPr>
              <w:pStyle w:val="BodyText"/>
              <w:rPr>
                <w:lang w:val="en-NZ"/>
              </w:rPr>
            </w:pPr>
            <w:r w:rsidRPr="00711A78">
              <w:t xml:space="preserve">Evidence required to demonstrate competence in this unit must be relevant to and satisfy all of the requirements of the elements and performance criteria on at least two separate occasions and include:  </w:t>
            </w:r>
          </w:p>
        </w:tc>
      </w:tr>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A78" w:rsidP="00711A78">
            <w:pPr>
              <w:pStyle w:val="ListBullet"/>
            </w:pPr>
            <w:r w:rsidRPr="00711A78">
              <w:t xml:space="preserve">applying </w:t>
            </w:r>
            <w:r w:rsidRPr="00711A78">
              <w:t xml:space="preserve">relevant work health and safety (WHS)/occupational health and safety (OHS) requirements, including the use of risk control measures </w:t>
            </w:r>
          </w:p>
          <w:p w:rsidR="00000000" w:rsidRPr="00711A78" w:rsidP="00711A78">
            <w:pPr>
              <w:pStyle w:val="ListBullet"/>
            </w:pPr>
            <w:r w:rsidRPr="00711A78">
              <w:t>applying sustainable energy principles and practices</w:t>
            </w:r>
          </w:p>
          <w:p w:rsidR="00000000" w:rsidRPr="00711A78" w:rsidP="00711A78">
            <w:pPr>
              <w:pStyle w:val="ListBullet"/>
            </w:pPr>
            <w:r w:rsidRPr="00711A78">
              <w:t>obtaining all the following:</w:t>
            </w:r>
          </w:p>
          <w:p w:rsidR="00000000" w:rsidRPr="00711A78" w:rsidP="00711A78">
            <w:pPr>
              <w:pStyle w:val="ListBullet2"/>
            </w:pPr>
            <w:r w:rsidRPr="00711A78">
              <w:t>approvals/clearances</w:t>
            </w:r>
          </w:p>
          <w:p w:rsidR="00000000" w:rsidRPr="00711A78" w:rsidP="00711A78">
            <w:pPr>
              <w:pStyle w:val="ListBullet2"/>
            </w:pPr>
            <w:r w:rsidRPr="00711A78">
              <w:t>access authorities</w:t>
            </w:r>
          </w:p>
          <w:p w:rsidR="00000000" w:rsidRPr="00711A78" w:rsidP="00711A78">
            <w:pPr>
              <w:pStyle w:val="ListBullet"/>
            </w:pPr>
            <w:r w:rsidRPr="00711A78">
              <w:t>completing at least one (1) of the following:</w:t>
            </w:r>
          </w:p>
          <w:p w:rsidR="00000000" w:rsidRPr="00711A78" w:rsidP="00711A78">
            <w:pPr>
              <w:pStyle w:val="ListBullet2"/>
            </w:pPr>
            <w:r w:rsidRPr="00711A78">
              <w:t>development of an interconnected switching schedule</w:t>
            </w:r>
          </w:p>
          <w:p w:rsidR="00000000" w:rsidRPr="00711A78" w:rsidP="00711A78">
            <w:pPr>
              <w:pStyle w:val="ListBullet2"/>
            </w:pPr>
            <w:r w:rsidRPr="00711A78">
              <w:t>development of a radial switching schedule</w:t>
            </w:r>
          </w:p>
          <w:p w:rsidR="00000000" w:rsidRPr="00711A78" w:rsidP="00711A78">
            <w:pPr>
              <w:pStyle w:val="ListBullet"/>
            </w:pPr>
            <w:r w:rsidRPr="00711A78">
              <w:t>completing all of the following:</w:t>
            </w:r>
          </w:p>
          <w:p w:rsidR="00000000" w:rsidRPr="00711A78" w:rsidP="00711A78">
            <w:pPr>
              <w:pStyle w:val="ListBullet2"/>
            </w:pPr>
            <w:r w:rsidRPr="00711A78">
              <w:t>planning of loading of network components, including standby generation</w:t>
            </w:r>
          </w:p>
          <w:p w:rsidR="00000000" w:rsidRPr="00711A78" w:rsidP="00711A78">
            <w:pPr>
              <w:pStyle w:val="ListBullet2"/>
            </w:pPr>
            <w:r w:rsidRPr="00711A78">
              <w:t>evalua</w:t>
            </w:r>
            <w:r w:rsidRPr="00711A78">
              <w:t>ting load parameters and effects on system, including paralleling and off-loading</w:t>
            </w:r>
          </w:p>
          <w:p w:rsidR="00000000" w:rsidRPr="00711A78" w:rsidP="00711A78">
            <w:pPr>
              <w:pStyle w:val="ListBullet2"/>
            </w:pPr>
            <w:r w:rsidRPr="00711A78">
              <w:t>identifying unexpected sources of energisation, e.g. – generators and uninterruptible power supply (UPS)</w:t>
            </w:r>
          </w:p>
          <w:p w:rsidR="00000000" w:rsidRPr="00711A78" w:rsidP="00711A78">
            <w:pPr>
              <w:pStyle w:val="ListBullet2"/>
            </w:pPr>
            <w:r w:rsidRPr="00711A78">
              <w:t>implementing earthing procedures to reduce induced voltages</w:t>
            </w:r>
          </w:p>
          <w:p w:rsidR="00000000" w:rsidRPr="00711A78" w:rsidP="00711A78">
            <w:pPr>
              <w:pStyle w:val="ListBullet2"/>
            </w:pPr>
            <w:r w:rsidRPr="00711A78">
              <w:t>authorisi</w:t>
            </w:r>
            <w:r w:rsidRPr="00711A78">
              <w:t>ng issuance of work permits</w:t>
            </w:r>
          </w:p>
          <w:p w:rsidR="00000000" w:rsidRPr="00711A78" w:rsidP="00711A78">
            <w:pPr>
              <w:pStyle w:val="ListBullet"/>
            </w:pPr>
            <w:r w:rsidRPr="00711A78">
              <w:t>dealing with unplanned events on at least one (1) occasion.</w:t>
            </w:r>
          </w:p>
        </w:tc>
      </w:tr>
    </w:tbl>
    <w:p w:rsidR="00000000" w:rsidRPr="00711A78" w:rsidP="00711A78">
      <w:pPr>
        <w:pStyle w:val="NoPaddingFontSize1"/>
      </w:pPr>
    </w:p>
    <w:p w:rsidR="00000000" w:rsidRPr="00711A78" w:rsidP="00711A78">
      <w:pPr>
        <w:pStyle w:val="AllowPageBreak"/>
      </w:pPr>
    </w:p>
    <w:p w:rsidR="00000000" w:rsidRPr="00711A78" w:rsidP="00711A78">
      <w:pPr>
        <w:pStyle w:val="Heading1"/>
      </w:pPr>
      <w:bookmarkStart w:id="3" w:name="O_1003319"/>
      <w:bookmarkEnd w:id="3"/>
      <w:r w:rsidRPr="00711A78">
        <w:t>Knowledge Evidence</w:t>
      </w:r>
    </w:p>
    <w:tbl>
      <w:tblPr>
        <w:tblW w:w="9497" w:type="dxa"/>
        <w:tblLayout w:type="fixed"/>
        <w:tblCellMar>
          <w:left w:w="62" w:type="dxa"/>
          <w:right w:w="62" w:type="dxa"/>
        </w:tblCellMar>
        <w:tblLook w:val="0000"/>
      </w:tblPr>
      <w:tblGrid>
        <w:gridCol w:w="9497"/>
      </w:tblGrid>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1A78">
            <w:pPr>
              <w:pStyle w:val="BodyText"/>
              <w:rPr>
                <w:lang w:val="en-NZ"/>
              </w:rPr>
            </w:pPr>
            <w:r w:rsidRPr="00711A78">
              <w:t>Evidence required to demonstrate competence in this unit must be relevant to and satisfy all of the requirements of the elements and performance criteria and include knowledge of:</w:t>
            </w:r>
          </w:p>
        </w:tc>
      </w:tr>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A78" w:rsidP="00711A78">
            <w:pPr>
              <w:pStyle w:val="ListBullet"/>
            </w:pPr>
            <w:r w:rsidRPr="00711A78">
              <w:t>electrical equipment fundamentals used in the powerline industry encompass</w:t>
            </w:r>
            <w:r w:rsidRPr="00711A78">
              <w:t>ing:</w:t>
            </w:r>
          </w:p>
          <w:p w:rsidR="00000000" w:rsidRPr="00711A78" w:rsidP="00711A78">
            <w:pPr>
              <w:pStyle w:val="ListBullet2"/>
            </w:pPr>
            <w:r w:rsidRPr="00711A78">
              <w:t>legislation, standards, codes, supply authority regulations and specific enterprise regulations pertaining to the use and care of electrical equipment - high voltage (HV) and low voltage (LV) equipment</w:t>
            </w:r>
          </w:p>
          <w:p w:rsidR="00000000" w:rsidRPr="00711A78" w:rsidP="00711A78">
            <w:pPr>
              <w:pStyle w:val="ListBullet2"/>
            </w:pPr>
            <w:r w:rsidRPr="00711A78">
              <w:t>characteristics, capabilities and application of powerline electrical equipment</w:t>
            </w:r>
          </w:p>
          <w:p w:rsidR="00000000" w:rsidRPr="00711A78" w:rsidP="00711A78">
            <w:pPr>
              <w:pStyle w:val="ListBullet2"/>
            </w:pPr>
            <w:r w:rsidRPr="00711A78">
              <w:t>safety precautions with regards to using electrical equipment</w:t>
            </w:r>
          </w:p>
          <w:p w:rsidR="00000000" w:rsidRPr="00711A78" w:rsidP="00711A78">
            <w:pPr>
              <w:pStyle w:val="ListBullet2"/>
            </w:pPr>
            <w:r w:rsidRPr="00711A78">
              <w:t>techniques in pre-use inspection on the serviceability of electrical equipment</w:t>
            </w:r>
          </w:p>
          <w:p w:rsidR="00000000" w:rsidRPr="00711A78" w:rsidP="00711A78">
            <w:pPr>
              <w:pStyle w:val="ListBullet2"/>
            </w:pPr>
            <w:r w:rsidRPr="00711A78">
              <w:t>techniques in the general maintenan</w:t>
            </w:r>
            <w:r w:rsidRPr="00711A78">
              <w:t>ce, care and storage of electrical equipment</w:t>
            </w:r>
          </w:p>
          <w:p w:rsidR="00000000" w:rsidRPr="00711A78" w:rsidP="00711A78">
            <w:pPr>
              <w:pStyle w:val="ListBullet2"/>
            </w:pPr>
            <w:r w:rsidRPr="00711A78">
              <w:t>identifying hazards, assessing and controlling risks associated with the use of electrical equipment</w:t>
            </w:r>
          </w:p>
          <w:p w:rsidR="00000000" w:rsidRPr="00711A78" w:rsidP="00711A78">
            <w:pPr>
              <w:pStyle w:val="ListBullet"/>
            </w:pPr>
            <w:r w:rsidRPr="00711A78">
              <w:t>HV switching principles encompassing:</w:t>
            </w:r>
          </w:p>
          <w:p w:rsidR="00000000" w:rsidRPr="00711A78" w:rsidP="00711A78">
            <w:pPr>
              <w:pStyle w:val="ListBullet2"/>
            </w:pPr>
            <w:r w:rsidRPr="00711A78">
              <w:t>standards, codes, legislation, supply authority regulations and/or ent</w:t>
            </w:r>
            <w:r w:rsidRPr="00711A78">
              <w:t>erprise requirements applicable to switching of HV to a given schedule</w:t>
            </w:r>
          </w:p>
          <w:p w:rsidR="00000000" w:rsidRPr="00711A78" w:rsidP="00711A78">
            <w:pPr>
              <w:pStyle w:val="ListBullet2"/>
            </w:pPr>
            <w:r w:rsidRPr="00711A78">
              <w:t>requirements for the use of manuals, system diagrams/plans and drawings - types, characteristics and capabilities of electrical apparatus; use, characteristics and capabilities of speci</w:t>
            </w:r>
            <w:r w:rsidRPr="00711A78">
              <w:t>alised tools and testing equipment; and network interconnectors source of possible back-feed</w:t>
            </w:r>
          </w:p>
          <w:p w:rsidR="00000000" w:rsidRPr="00711A78" w:rsidP="00711A78">
            <w:pPr>
              <w:pStyle w:val="ListBullet2"/>
            </w:pPr>
            <w:r w:rsidRPr="00711A78">
              <w:t>role of the HV switching operator</w:t>
            </w:r>
          </w:p>
          <w:p w:rsidR="00000000" w:rsidRPr="00711A78" w:rsidP="00711A78">
            <w:pPr>
              <w:pStyle w:val="ListBullet2"/>
            </w:pPr>
            <w:r w:rsidRPr="00711A78">
              <w:t>operational forms, access authorities and permits associated with HV switching - types of operational forms, access authorities a</w:t>
            </w:r>
            <w:r w:rsidRPr="00711A78">
              <w:t>nd permits; purpose and procedure for operational forms, access authorities and permits</w:t>
            </w:r>
          </w:p>
          <w:p w:rsidR="00000000" w:rsidRPr="00711A78" w:rsidP="00711A78">
            <w:pPr>
              <w:pStyle w:val="ListBullet2"/>
            </w:pPr>
            <w:r w:rsidRPr="00711A78">
              <w:t>use and operation of equipment associated with HV overhead and substation equipment - test instruments, sticks, interrupters and arc stranglers</w:t>
            </w:r>
          </w:p>
          <w:p w:rsidR="00000000" w:rsidRPr="00711A78" w:rsidP="00711A78">
            <w:pPr>
              <w:pStyle w:val="ListBullet2"/>
            </w:pPr>
            <w:r w:rsidRPr="00711A78">
              <w:t xml:space="preserve">types and categories of </w:t>
            </w:r>
            <w:r w:rsidRPr="00711A78">
              <w:t>HV switchgear</w:t>
            </w:r>
          </w:p>
          <w:p w:rsidR="00000000" w:rsidRPr="00711A78" w:rsidP="00711A78">
            <w:pPr>
              <w:pStyle w:val="ListBullet2"/>
            </w:pPr>
            <w:r w:rsidRPr="00711A78">
              <w:t>application, function and operating capabilities of switchgear</w:t>
            </w:r>
          </w:p>
          <w:p w:rsidR="00000000" w:rsidRPr="00711A78" w:rsidP="00711A78">
            <w:pPr>
              <w:pStyle w:val="ListBullet2"/>
            </w:pPr>
            <w:r w:rsidRPr="00711A78">
              <w:t>restrictions pertaining to HV switching equipment</w:t>
            </w:r>
          </w:p>
          <w:p w:rsidR="00000000" w:rsidRPr="00711A78" w:rsidP="00711A78">
            <w:pPr>
              <w:pStyle w:val="ListBullet2"/>
            </w:pPr>
            <w:r w:rsidRPr="00711A78">
              <w:t>procedures for the isolation of HV transmission main and working earths</w:t>
            </w:r>
          </w:p>
          <w:p w:rsidR="00000000" w:rsidRPr="00711A78" w:rsidP="00711A78">
            <w:pPr>
              <w:pStyle w:val="ListBullet2"/>
            </w:pPr>
            <w:r w:rsidRPr="00711A78">
              <w:t>earthing HV electrical apparatus practices and procedures for access - purposes of operational and additional work part on-site earths, factors determining the location and effectiveness of operational earthing, acceptable industry procedures, personal pro</w:t>
            </w:r>
            <w:r w:rsidRPr="00711A78">
              <w:t>tective equipment (PPE) and HV switching techniques</w:t>
            </w:r>
          </w:p>
          <w:p w:rsidR="00000000" w:rsidRPr="00711A78" w:rsidP="00711A78">
            <w:pPr>
              <w:pStyle w:val="ListBullet2"/>
            </w:pPr>
            <w:r w:rsidRPr="00711A78">
              <w:t>operate switching apparatus - identifying hazards, assessing and controlling risks associated with HV switchgear operation, systematic and defensive techniques, mobile radio procedures and double isolatio</w:t>
            </w:r>
            <w:r w:rsidRPr="00711A78">
              <w:t>n procedures</w:t>
            </w:r>
          </w:p>
          <w:p w:rsidR="00000000" w:rsidRPr="00711A78" w:rsidP="00711A78">
            <w:pPr>
              <w:pStyle w:val="ListBullet"/>
            </w:pPr>
            <w:r w:rsidRPr="00711A78">
              <w:t>HV distribution transformer principles encompassing:</w:t>
            </w:r>
          </w:p>
          <w:p w:rsidR="00000000" w:rsidRPr="00711A78" w:rsidP="00711A78">
            <w:pPr>
              <w:pStyle w:val="ListBullet2"/>
            </w:pPr>
            <w:r w:rsidRPr="00711A78">
              <w:t>operation of HV distribution transformers - principle governing factors for transformer ratings, protection and alarms, operating limitations and the relationship between transformer and H</w:t>
            </w:r>
            <w:r w:rsidRPr="00711A78">
              <w:t xml:space="preserve">V fuse rating, purpose and principle operation of HV distribution transformer tap changers, HV distribution transformer and transformer - cable combination switching practices, paralleling requirements, isolation and earthing procedures for access, common </w:t>
            </w:r>
            <w:r w:rsidRPr="00711A78">
              <w:t>distribution transformer and associated electrical apparatus faults</w:t>
            </w:r>
          </w:p>
          <w:p w:rsidR="00000000" w:rsidRPr="00711A78" w:rsidP="00711A78">
            <w:pPr>
              <w:pStyle w:val="ListBullet2"/>
            </w:pPr>
            <w:r w:rsidRPr="00711A78">
              <w:t xml:space="preserve">HV underground switching equipment - arc stranglers, switch operation, load break elbows, switching cubicles, canister fuses, bayonet fuses, F and G switching cubicles, voltage indicators </w:t>
            </w:r>
            <w:r w:rsidRPr="00711A78">
              <w:t>and phasing testers</w:t>
            </w:r>
          </w:p>
          <w:p w:rsidR="00000000" w:rsidRPr="00711A78" w:rsidP="00711A78">
            <w:pPr>
              <w:pStyle w:val="ListBullet"/>
            </w:pPr>
            <w:r w:rsidRPr="00711A78">
              <w:t>HV single wire earth return (SWER) system encompassing:</w:t>
            </w:r>
          </w:p>
          <w:p w:rsidR="00000000" w:rsidRPr="00711A78" w:rsidP="00711A78">
            <w:pPr>
              <w:pStyle w:val="ListBullet2"/>
            </w:pPr>
            <w:r w:rsidRPr="00711A78">
              <w:t>application and function of SWER system components</w:t>
            </w:r>
          </w:p>
          <w:p w:rsidR="00000000" w:rsidRPr="00711A78" w:rsidP="00711A78">
            <w:pPr>
              <w:pStyle w:val="ListBullet2"/>
            </w:pPr>
            <w:r w:rsidRPr="00711A78">
              <w:t>circuit arrangement</w:t>
            </w:r>
          </w:p>
          <w:p w:rsidR="00000000" w:rsidRPr="00711A78" w:rsidP="00711A78">
            <w:pPr>
              <w:pStyle w:val="ListBullet2"/>
            </w:pPr>
            <w:r w:rsidRPr="00711A78">
              <w:t>principle of operation</w:t>
            </w:r>
          </w:p>
          <w:p w:rsidR="00000000" w:rsidRPr="00711A78" w:rsidP="00711A78">
            <w:pPr>
              <w:pStyle w:val="ListBullet2"/>
            </w:pPr>
            <w:r w:rsidRPr="00711A78">
              <w:t>hazards and procedures associated with faulty SWER earth systems</w:t>
            </w:r>
          </w:p>
          <w:p w:rsidR="00000000" w:rsidRPr="00711A78" w:rsidP="00711A78">
            <w:pPr>
              <w:pStyle w:val="ListBullet2"/>
            </w:pPr>
            <w:r w:rsidRPr="00711A78">
              <w:t>procedure to isolat</w:t>
            </w:r>
            <w:r w:rsidRPr="00711A78">
              <w:t>e, energise and commission SWER substations</w:t>
            </w:r>
          </w:p>
          <w:p w:rsidR="00000000" w:rsidRPr="00711A78" w:rsidP="00711A78">
            <w:pPr>
              <w:pStyle w:val="ListBullet"/>
            </w:pPr>
            <w:r w:rsidRPr="00711A78">
              <w:t>feeder automation system encompassing:</w:t>
            </w:r>
          </w:p>
          <w:p w:rsidR="00000000" w:rsidRPr="00711A78" w:rsidP="00711A78">
            <w:pPr>
              <w:pStyle w:val="ListBullet2"/>
            </w:pPr>
            <w:r w:rsidRPr="00711A78">
              <w:t>function of feeder automation system and the main components</w:t>
            </w:r>
          </w:p>
          <w:p w:rsidR="00000000" w:rsidRPr="00711A78" w:rsidP="00711A78">
            <w:pPr>
              <w:pStyle w:val="ListBullet2"/>
            </w:pPr>
            <w:r w:rsidRPr="00711A78">
              <w:t>operation procedure for a remote field device from a local control station</w:t>
            </w:r>
          </w:p>
          <w:p w:rsidR="00000000" w:rsidRPr="00711A78" w:rsidP="00711A78">
            <w:pPr>
              <w:pStyle w:val="ListBullet2"/>
            </w:pPr>
            <w:r w:rsidRPr="00711A78">
              <w:t>functions of supervisory control and data acquisition (SCADA) (or any other relevant data acquisition and control) systems and its main components</w:t>
            </w:r>
          </w:p>
          <w:p w:rsidR="00000000" w:rsidRPr="00711A78" w:rsidP="00711A78">
            <w:pPr>
              <w:pStyle w:val="ListBullet2"/>
            </w:pPr>
            <w:r w:rsidRPr="00711A78">
              <w:t>SCADA system security interlocks and access restrictions</w:t>
            </w:r>
          </w:p>
          <w:p w:rsidR="00000000" w:rsidRPr="00711A78" w:rsidP="00711A78">
            <w:pPr>
              <w:pStyle w:val="ListBullet2"/>
            </w:pPr>
            <w:r w:rsidRPr="00711A78">
              <w:t>SCADA system operation when switching apparatus or r</w:t>
            </w:r>
            <w:r w:rsidRPr="00711A78">
              <w:t>etrieving data via a remote access device, such as remote access terminal (RAT), dial up voice annunciated system and local control station</w:t>
            </w:r>
          </w:p>
          <w:p w:rsidR="00000000" w:rsidRPr="00711A78" w:rsidP="00711A78">
            <w:pPr>
              <w:pStyle w:val="ListBullet2"/>
            </w:pPr>
            <w:r w:rsidRPr="00711A78">
              <w:t>function of the main components of a local/remote control system</w:t>
            </w:r>
          </w:p>
          <w:p w:rsidR="00000000" w:rsidRPr="00711A78" w:rsidP="00711A78">
            <w:pPr>
              <w:pStyle w:val="ListBullet2"/>
            </w:pPr>
            <w:r w:rsidRPr="00711A78">
              <w:t>operation of a field devices using SCADA systems vi</w:t>
            </w:r>
            <w:r w:rsidRPr="00711A78">
              <w:t>a a RAT, dial up voice annunciated system and local control station</w:t>
            </w:r>
          </w:p>
          <w:p w:rsidR="00000000" w:rsidRPr="00711A78" w:rsidP="00711A78">
            <w:pPr>
              <w:pStyle w:val="ListBullet"/>
            </w:pPr>
            <w:r w:rsidRPr="00711A78">
              <w:t>HV system switching principles, including switching authorisation procedures, encompassing:</w:t>
            </w:r>
          </w:p>
          <w:p w:rsidR="00000000" w:rsidRPr="00711A78" w:rsidP="00711A78">
            <w:pPr>
              <w:pStyle w:val="ListBullet2"/>
            </w:pPr>
            <w:r w:rsidRPr="00711A78">
              <w:t>legislation, standards, codes, supply authority regulations and/or enterprise requirements app</w:t>
            </w:r>
            <w:r w:rsidRPr="00711A78">
              <w:t>licable to system switching</w:t>
            </w:r>
          </w:p>
          <w:p w:rsidR="00000000" w:rsidRPr="00711A78" w:rsidP="00711A78">
            <w:pPr>
              <w:pStyle w:val="ListBullet2"/>
            </w:pPr>
            <w:r w:rsidRPr="00711A78">
              <w:t>requirements for the use of manuals, system diagrams/plans and drawings</w:t>
            </w:r>
          </w:p>
          <w:p w:rsidR="00000000" w:rsidRPr="00711A78" w:rsidP="00711A78">
            <w:pPr>
              <w:pStyle w:val="ListBullet2"/>
            </w:pPr>
            <w:r w:rsidRPr="00711A78">
              <w:t>types and characteristics of HV systems and equipment to be switched</w:t>
            </w:r>
          </w:p>
          <w:p w:rsidR="00000000" w:rsidRPr="00711A78" w:rsidP="00711A78">
            <w:pPr>
              <w:pStyle w:val="ListBullet2"/>
            </w:pPr>
            <w:r w:rsidRPr="00711A78">
              <w:t>procedures for obtaining correct HV switching authorisation - identification of WHS/OHS</w:t>
            </w:r>
            <w:r w:rsidRPr="00711A78">
              <w:t xml:space="preserve"> hazards, assessing and controlling risks, safety procedures and precautions, safe approach distances (SAD), responsibilities and protocols, identifying switching resources, procedures for obtaining electrical access permits authorities, requirements for t</w:t>
            </w:r>
            <w:r w:rsidRPr="00711A78">
              <w:t>eam switching and procedures for coordination of operations</w:t>
            </w:r>
          </w:p>
          <w:p w:rsidR="00000000" w:rsidRPr="00711A78" w:rsidP="00711A78">
            <w:pPr>
              <w:pStyle w:val="ListBullet2"/>
            </w:pPr>
            <w:r w:rsidRPr="00711A78">
              <w:t xml:space="preserve">techniques in HV system switching - pre-switching checks, switching operational procedures, isolation procedures and proving dead de-energised, earthing procedures, emergency fault procedures and </w:t>
            </w:r>
            <w:r w:rsidRPr="00711A78">
              <w:t>energisation procedures</w:t>
            </w:r>
          </w:p>
          <w:p w:rsidR="00000000" w:rsidRPr="00711A78" w:rsidP="00711A78">
            <w:pPr>
              <w:pStyle w:val="ListBullet"/>
            </w:pPr>
            <w:r w:rsidRPr="00711A78">
              <w:t>HV overhead and substation switching principles encompassing:</w:t>
            </w:r>
          </w:p>
          <w:p w:rsidR="00000000" w:rsidRPr="00711A78" w:rsidP="00711A78">
            <w:pPr>
              <w:pStyle w:val="ListBullet2"/>
            </w:pPr>
            <w:r w:rsidRPr="00711A78">
              <w:t>legislation, standards, codes, supply authority regulations and/or enterprise requirements applicable to HV overhead and substation switching</w:t>
            </w:r>
          </w:p>
          <w:p w:rsidR="00000000" w:rsidRPr="00711A78" w:rsidP="00711A78">
            <w:pPr>
              <w:pStyle w:val="ListBullet2"/>
            </w:pPr>
            <w:r w:rsidRPr="00711A78">
              <w:t>requirements for the use of manuals, system diagrams/plans and drawings - types, characteristics and capabilities of HV electrical equipment to be switched; use, characteristics and capabilities of specialised tools and testing equipment</w:t>
            </w:r>
          </w:p>
          <w:p w:rsidR="00000000" w:rsidRPr="00711A78" w:rsidP="00711A78">
            <w:pPr>
              <w:pStyle w:val="ListBullet2"/>
            </w:pPr>
            <w:r w:rsidRPr="00711A78">
              <w:t>role and responsib</w:t>
            </w:r>
            <w:r w:rsidRPr="00711A78">
              <w:t>ilities of the HV switching operator</w:t>
            </w:r>
          </w:p>
          <w:p w:rsidR="00000000" w:rsidRPr="00711A78" w:rsidP="00711A78">
            <w:pPr>
              <w:pStyle w:val="ListBullet2"/>
            </w:pPr>
            <w:r w:rsidRPr="00711A78">
              <w:t>operational forms, access authorities and permits, and hazard/risk assessments associated with HV switching - types of operational forms, access authorities and permits, hazard/risk assessments, purpose and procedure fo</w:t>
            </w:r>
            <w:r w:rsidRPr="00711A78">
              <w:t>r operational forms, access authorities and hazard/risk assessments</w:t>
            </w:r>
          </w:p>
          <w:p w:rsidR="00000000" w:rsidRPr="00711A78" w:rsidP="00711A78">
            <w:pPr>
              <w:pStyle w:val="ListBullet2"/>
            </w:pPr>
            <w:r w:rsidRPr="00711A78">
              <w:t>use and operation of equipment associated with HV overhead and substation equipment - test instruments, sticks, interrupters and arc stranglers</w:t>
            </w:r>
          </w:p>
          <w:p w:rsidR="00000000" w:rsidRPr="00711A78" w:rsidP="00711A78">
            <w:pPr>
              <w:pStyle w:val="ListBullet2"/>
            </w:pPr>
            <w:r w:rsidRPr="00711A78">
              <w:t>HV switchgear – types, categories, applicati</w:t>
            </w:r>
            <w:r w:rsidRPr="00711A78">
              <w:t>on and operating capabilities</w:t>
            </w:r>
          </w:p>
          <w:p w:rsidR="00000000" w:rsidRPr="00711A78" w:rsidP="00711A78">
            <w:pPr>
              <w:pStyle w:val="ListBullet2"/>
            </w:pPr>
            <w:r w:rsidRPr="00711A78">
              <w:t>operation of HV overhead switching or indicating devices - fuses, disconnect fuses, load switching, live line indicators, capacitors, reclosers, sectionalisers, underslung links, air breaks, switches, disconnects, live line cl</w:t>
            </w:r>
            <w:r w:rsidRPr="00711A78">
              <w:t>amps, phasing sticks and phasing tester</w:t>
            </w:r>
          </w:p>
          <w:p w:rsidR="00000000" w:rsidRPr="00711A78" w:rsidP="00711A78">
            <w:pPr>
              <w:pStyle w:val="ListBullet2"/>
            </w:pPr>
            <w:r w:rsidRPr="00711A78">
              <w:t>operation of protection systems and substation equipment - fault levels and settings; types and applications; protection systems and substation equipment fault levels and settings; types and applications</w:t>
            </w:r>
          </w:p>
          <w:p w:rsidR="00000000" w:rsidRPr="00711A78" w:rsidP="00711A78">
            <w:pPr>
              <w:pStyle w:val="ListBullet2"/>
            </w:pPr>
            <w:r w:rsidRPr="00711A78">
              <w:t>restrictions</w:t>
            </w:r>
            <w:r w:rsidRPr="00711A78">
              <w:t xml:space="preserve"> pertaining to HV switching equipment</w:t>
            </w:r>
          </w:p>
          <w:p w:rsidR="00000000" w:rsidRPr="00711A78" w:rsidP="00711A78">
            <w:pPr>
              <w:pStyle w:val="ListBullet2"/>
            </w:pPr>
            <w:r w:rsidRPr="00711A78">
              <w:t>procedures for the isolation of HV mains and working earths - earthing HV electrical apparatus practices and procedures for access authority issuing; and HV switching techniques</w:t>
            </w:r>
          </w:p>
          <w:p w:rsidR="00000000" w:rsidRPr="00711A78" w:rsidP="00711A78">
            <w:pPr>
              <w:pStyle w:val="ListBullet2"/>
            </w:pPr>
            <w:r w:rsidRPr="00711A78">
              <w:t>operate switching apparatus - identifyin</w:t>
            </w:r>
            <w:r w:rsidRPr="00711A78">
              <w:t>g hazards, assessing and controlling risks associated with HV switchgear operation, systematic and defensive techniques, mobile radio procedures and double isolation procedures</w:t>
            </w:r>
          </w:p>
          <w:p w:rsidR="00000000" w:rsidRPr="00711A78" w:rsidP="00711A78">
            <w:pPr>
              <w:pStyle w:val="ListBullet"/>
            </w:pPr>
            <w:r w:rsidRPr="00711A78">
              <w:t>preparation of a HV switching instruction schedule encompassing:</w:t>
            </w:r>
          </w:p>
          <w:p w:rsidR="00000000" w:rsidRPr="00711A78" w:rsidP="00711A78">
            <w:pPr>
              <w:pStyle w:val="ListBullet2"/>
            </w:pPr>
            <w:r w:rsidRPr="00711A78">
              <w:t>legislation,</w:t>
            </w:r>
            <w:r w:rsidRPr="00711A78">
              <w:t xml:space="preserve"> standards, codes, supply authority regulations and/or enterprise requirements applicable to switching instruction schedules</w:t>
            </w:r>
          </w:p>
          <w:p w:rsidR="00000000" w:rsidRPr="00711A78" w:rsidP="00711A78">
            <w:pPr>
              <w:pStyle w:val="ListBullet2"/>
            </w:pPr>
            <w:r w:rsidRPr="00711A78">
              <w:t xml:space="preserve">requirements for the use of manuals, system diagrams/plans and drawings - types, characteristics and capabilities of HV electrical </w:t>
            </w:r>
            <w:r w:rsidRPr="00711A78">
              <w:t>equipment to be switched, points of isolation and earthing locations (safety and working earths), and responsibilities of the switching operator</w:t>
            </w:r>
          </w:p>
          <w:p w:rsidR="00000000" w:rsidRPr="00711A78" w:rsidP="00711A78">
            <w:pPr>
              <w:pStyle w:val="ListBullet2"/>
            </w:pPr>
            <w:r w:rsidRPr="00711A78">
              <w:t>techniques in writing switching instructions - sequence of switching operations, isolation procedures, earthing</w:t>
            </w:r>
            <w:r w:rsidRPr="00711A78">
              <w:t xml:space="preserve"> procedures and switching completion notification procedures</w:t>
            </w:r>
          </w:p>
          <w:p w:rsidR="00000000" w:rsidRPr="00711A78" w:rsidP="00711A78">
            <w:pPr>
              <w:pStyle w:val="ListBullet"/>
            </w:pPr>
            <w:r w:rsidRPr="00711A78">
              <w:t>enterprise-specific policies and procedure instructions encompassing:</w:t>
            </w:r>
          </w:p>
          <w:p w:rsidR="00000000" w:rsidRPr="00711A78" w:rsidP="00711A78">
            <w:pPr>
              <w:pStyle w:val="ListBullet2"/>
            </w:pPr>
            <w:r w:rsidRPr="00711A78">
              <w:t>responsibilities and duty of care of employer and employee relationship</w:t>
            </w:r>
          </w:p>
          <w:p w:rsidR="00000000" w:rsidRPr="00711A78" w:rsidP="00711A78">
            <w:pPr>
              <w:pStyle w:val="ListBullet2"/>
            </w:pPr>
            <w:r w:rsidRPr="00711A78">
              <w:t>methods of obtaining the up-to-date information on enterprise policies and procedures</w:t>
            </w:r>
          </w:p>
          <w:p w:rsidR="00000000" w:rsidRPr="00711A78" w:rsidP="00711A78">
            <w:pPr>
              <w:pStyle w:val="ListBullet2"/>
            </w:pPr>
            <w:r w:rsidRPr="00711A78">
              <w:t>rules and regulations</w:t>
            </w:r>
          </w:p>
          <w:p w:rsidR="00000000" w:rsidRPr="00711A78" w:rsidP="00711A78">
            <w:pPr>
              <w:pStyle w:val="ListBullet2"/>
            </w:pPr>
            <w:r w:rsidRPr="00711A78">
              <w:t xml:space="preserve">induction into workplace - location of work area and storage area, timetable, uniform, personal wellbeing, housekeeping rules, emergency procedures </w:t>
            </w:r>
            <w:r w:rsidRPr="00711A78">
              <w:t>and evacuation procedures</w:t>
            </w:r>
          </w:p>
          <w:p w:rsidR="00000000" w:rsidRPr="00711A78" w:rsidP="00711A78">
            <w:pPr>
              <w:pStyle w:val="ListBullet2"/>
            </w:pPr>
            <w:r w:rsidRPr="00711A78">
              <w:t>techniques when dealing with others - working in teams, customer relation, and complaint and issues procedures</w:t>
            </w:r>
          </w:p>
          <w:p w:rsidR="00000000" w:rsidRPr="00711A78" w:rsidP="00711A78">
            <w:pPr>
              <w:pStyle w:val="ListBullet2"/>
            </w:pPr>
            <w:r w:rsidRPr="00711A78">
              <w:t>overview of enterprise professional development - fire-fighting procedures, fatigue management, and training and compet</w:t>
            </w:r>
            <w:r w:rsidRPr="00711A78">
              <w:t>ency development - understanding and promotion</w:t>
            </w:r>
          </w:p>
          <w:p w:rsidR="00000000" w:rsidRPr="00711A78" w:rsidP="00711A78">
            <w:pPr>
              <w:pStyle w:val="ListBullet"/>
            </w:pPr>
            <w:r w:rsidRPr="00711A78">
              <w:t>enterprise-specific WHS/OHS instructions encompassing:</w:t>
            </w:r>
          </w:p>
          <w:p w:rsidR="00000000" w:rsidRPr="00711A78" w:rsidP="00711A78">
            <w:pPr>
              <w:pStyle w:val="ListBullet2"/>
            </w:pPr>
            <w:r w:rsidRPr="00711A78">
              <w:t>standards, codes, legislation, supply authority regulations and specific enterprise regulations pertaining to WHS/OHS policies and procedures</w:t>
            </w:r>
          </w:p>
          <w:p w:rsidR="00000000" w:rsidRPr="00711A78" w:rsidP="00711A78">
            <w:pPr>
              <w:pStyle w:val="ListBullet2"/>
            </w:pPr>
            <w:r w:rsidRPr="00711A78">
              <w:t>methods of</w:t>
            </w:r>
            <w:r w:rsidRPr="00711A78">
              <w:t xml:space="preserve"> obtaining the up-to-date information on enterprise WHS/OHS policies and procedures</w:t>
            </w:r>
          </w:p>
          <w:p w:rsidR="00000000" w:rsidRPr="00711A78" w:rsidP="00711A78">
            <w:pPr>
              <w:pStyle w:val="ListBullet2"/>
            </w:pPr>
            <w:r w:rsidRPr="00711A78">
              <w:t>specific enterprise personal protection equipment (PPE) - type and application; where and when to be used; method of replacement; responsibility of maintenance, including c</w:t>
            </w:r>
            <w:r w:rsidRPr="00711A78">
              <w:t>leaning, inspection and testing; and emergency response, rescue, evacuation and first aid procedures</w:t>
            </w:r>
          </w:p>
          <w:p w:rsidR="00000000" w:rsidRPr="00711A78" w:rsidP="00711A78">
            <w:pPr>
              <w:pStyle w:val="ListBullet2"/>
            </w:pPr>
            <w:r w:rsidRPr="00711A78">
              <w:t>personal wellbeing – hygiene, fatigue/stress management and drugs/alcohol</w:t>
            </w:r>
          </w:p>
          <w:p w:rsidR="00000000" w:rsidRPr="00711A78" w:rsidP="00711A78">
            <w:pPr>
              <w:pStyle w:val="ListBullet2"/>
            </w:pPr>
            <w:r w:rsidRPr="00711A78">
              <w:t>WHS/OHS training - induction training, specific hazard training, specific task or</w:t>
            </w:r>
            <w:r w:rsidRPr="00711A78">
              <w:t xml:space="preserve"> equipment training, emergency and evacuation training, and training as part of broader programs, such as equipment operation</w:t>
            </w:r>
          </w:p>
          <w:p w:rsidR="00000000" w:rsidRPr="00711A78" w:rsidP="00711A78">
            <w:pPr>
              <w:pStyle w:val="ListBullet2"/>
            </w:pPr>
            <w:r w:rsidRPr="00711A78">
              <w:t>WHS/OHS records - audits; inspection reports; workplace health and environmental monitoring records; training and instruction reco</w:t>
            </w:r>
            <w:r w:rsidRPr="00711A78">
              <w:t>rds; manufacturer and supplier information, such as material safety data sheets (MSDS); registers; maintenance reports; workers compensation and rehabilitation records; and first aid/medical records</w:t>
            </w:r>
          </w:p>
          <w:p w:rsidR="00000000" w:rsidRPr="00711A78" w:rsidP="00711A78">
            <w:pPr>
              <w:pStyle w:val="ListBullet"/>
            </w:pPr>
            <w:r w:rsidRPr="00711A78">
              <w:t>enterprise-specific technical drawings and documents encompassing:</w:t>
            </w:r>
          </w:p>
          <w:p w:rsidR="00000000" w:rsidRPr="00711A78" w:rsidP="00711A78">
            <w:pPr>
              <w:pStyle w:val="ListBullet2"/>
            </w:pPr>
            <w:r w:rsidRPr="00711A78">
              <w:t>types and application of enterprise-specific drawings and documents - electrical and electronic drawings, mechanical drawings, project charts, schedules, graphs, technical manuals and cata</w:t>
            </w:r>
            <w:r w:rsidRPr="00711A78">
              <w:t>logues</w:t>
            </w:r>
          </w:p>
          <w:p w:rsidR="00000000" w:rsidRPr="00711A78" w:rsidP="00711A78">
            <w:pPr>
              <w:pStyle w:val="ListBullet2"/>
            </w:pPr>
            <w:r w:rsidRPr="00711A78">
              <w:t>instructions/worksheets - types and application of enterprise-specific symbols and diagrams</w:t>
            </w:r>
          </w:p>
          <w:p w:rsidR="00000000" w:rsidRPr="00711A78" w:rsidP="00711A78">
            <w:pPr>
              <w:pStyle w:val="ListBullet2"/>
            </w:pPr>
            <w:r w:rsidRPr="00711A78">
              <w:t>title box - description of parts and version control</w:t>
            </w:r>
          </w:p>
          <w:p w:rsidR="00000000" w:rsidRPr="00711A78" w:rsidP="00711A78">
            <w:pPr>
              <w:pStyle w:val="ListBullet"/>
            </w:pPr>
            <w:r w:rsidRPr="00711A78">
              <w:t>enterprise-specific switching diagrams and drawings encompassing:</w:t>
            </w:r>
          </w:p>
          <w:p w:rsidR="00000000" w:rsidRPr="00711A78" w:rsidP="00711A78">
            <w:pPr>
              <w:pStyle w:val="ListBullet2"/>
            </w:pPr>
            <w:r w:rsidRPr="00711A78">
              <w:t>types and application of enterprise-</w:t>
            </w:r>
            <w:r w:rsidRPr="00711A78">
              <w:t>specific switching drawings and documents - wiring and schematic diagrams and switching symbols, mechanical drawings dealing with switching operations, project charts, switching schedules, graphs, technical manuals and catalogues, and instructions/workshee</w:t>
            </w:r>
            <w:r w:rsidRPr="00711A78">
              <w:t>ts</w:t>
            </w:r>
          </w:p>
          <w:p w:rsidR="00000000" w:rsidRPr="00711A78" w:rsidP="00711A78">
            <w:pPr>
              <w:pStyle w:val="ListBullet2"/>
            </w:pPr>
            <w:r w:rsidRPr="00711A78">
              <w:t>interpretation of different system switching diagrams - LV system switching diagrams, direct current (d.c.) traction supply sectioning diagrams, HV transmission and distribution system symbols and feeder plans, and processes of updating switching diagra</w:t>
            </w:r>
            <w:r w:rsidRPr="00711A78">
              <w:t>ms.</w:t>
            </w:r>
          </w:p>
        </w:tc>
      </w:tr>
    </w:tbl>
    <w:p w:rsidR="00000000" w:rsidRPr="00711A78" w:rsidP="00711A78">
      <w:pPr>
        <w:pStyle w:val="NoPaddingFontSize1"/>
      </w:pPr>
    </w:p>
    <w:p w:rsidR="00000000" w:rsidRPr="00711A78" w:rsidP="00711A78">
      <w:pPr>
        <w:pStyle w:val="AllowPageBreak"/>
      </w:pPr>
    </w:p>
    <w:p w:rsidR="00000000" w:rsidRPr="00711A78" w:rsidP="00711A78">
      <w:pPr>
        <w:pStyle w:val="Heading1"/>
      </w:pPr>
      <w:bookmarkStart w:id="4" w:name="O_1003320"/>
      <w:bookmarkEnd w:id="4"/>
      <w:r w:rsidRPr="00711A78">
        <w:t>Assessment Conditions</w:t>
      </w:r>
    </w:p>
    <w:tbl>
      <w:tblPr>
        <w:tblW w:w="9497" w:type="dxa"/>
        <w:tblLayout w:type="fixed"/>
        <w:tblCellMar>
          <w:left w:w="62" w:type="dxa"/>
          <w:right w:w="62" w:type="dxa"/>
        </w:tblCellMar>
        <w:tblLook w:val="0000"/>
      </w:tblPr>
      <w:tblGrid>
        <w:gridCol w:w="9497"/>
      </w:tblGrid>
      <w:tr w:rsidTr="00711A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A78" w:rsidP="00711A78">
            <w:pPr>
              <w:pStyle w:val="BodyText"/>
            </w:pPr>
            <w:r w:rsidRPr="00711A78">
              <w:t>Assessors must hold credentials specified within the Standards for Registered Training Organisations current at the time of assessment.</w:t>
            </w:r>
          </w:p>
          <w:p w:rsidR="00000000" w:rsidRPr="00711A78" w:rsidP="00711A78">
            <w:pPr>
              <w:pStyle w:val="BodyText"/>
            </w:pPr>
            <w:r w:rsidRPr="00711A78">
              <w:t>Assessment must satisfy the Principles of Assessment and Rules of Evidence and all regulatory requirements included within the Standards for Registered Training Organisations current at the time of assessment.</w:t>
            </w:r>
          </w:p>
          <w:p w:rsidR="00000000" w:rsidRPr="00711A78" w:rsidP="00711A78">
            <w:pPr>
              <w:pStyle w:val="BodyText"/>
            </w:pPr>
            <w:r w:rsidRPr="00711A78">
              <w:t>Assessment must occur in workplace operational</w:t>
            </w:r>
            <w:r w:rsidRPr="00711A78">
              <w:t xml:space="preserve"> situations where it is appropriate to do so; where this is not appropriate, assessment must occur in simulated conditions involving realistic and authentic activities that replicate operational workplace conditions.</w:t>
            </w:r>
          </w:p>
          <w:p w:rsidR="00000000" w:rsidRPr="00711A78" w:rsidP="00711A78">
            <w:pPr>
              <w:pStyle w:val="BodyText"/>
            </w:pPr>
            <w:r w:rsidRPr="00711A78">
              <w:t>Assessment processes and techniques mus</w:t>
            </w:r>
            <w:r w:rsidRPr="00711A78">
              <w:t>t be appropriate to the language, literacy and numeracy requirements of the work being performed and the needs of the candidate.</w:t>
            </w:r>
          </w:p>
          <w:p w:rsidR="00000000" w:rsidRPr="00711A78" w:rsidP="00711A78">
            <w:pPr>
              <w:pStyle w:val="BodyText"/>
            </w:pPr>
            <w:r w:rsidRPr="00711A78">
              <w:t>Resources for assessment must include access to:</w:t>
            </w:r>
          </w:p>
          <w:p w:rsidR="00000000" w:rsidRPr="00711A78" w:rsidP="00711A78">
            <w:pPr>
              <w:pStyle w:val="ListBullet"/>
            </w:pPr>
            <w:r w:rsidRPr="00711A78">
              <w:t>a range of relevant exercises, case studies and/or other simulations</w:t>
            </w:r>
          </w:p>
          <w:p w:rsidR="00000000" w:rsidRPr="00711A78" w:rsidP="00711A78">
            <w:pPr>
              <w:pStyle w:val="ListBullet"/>
            </w:pPr>
            <w:r w:rsidRPr="00711A78">
              <w:t>relevant</w:t>
            </w:r>
            <w:r w:rsidRPr="00711A78">
              <w:t xml:space="preserve"> and appropriate materials, tools, equipment and PPE currently used in industry</w:t>
            </w:r>
          </w:p>
          <w:p w:rsidR="00000000" w:rsidRPr="00711A78" w:rsidP="00711A78">
            <w:pPr>
              <w:pStyle w:val="ListBullet"/>
            </w:pPr>
            <w:r w:rsidRPr="00711A78">
              <w:t>applicable documentation, including workplace procedures, equipment specifications, regulations, codes of practice and operation manuals.</w:t>
            </w:r>
          </w:p>
        </w:tc>
      </w:tr>
    </w:tbl>
    <w:p w:rsidR="00000000" w:rsidRPr="00711A78" w:rsidP="00711A78">
      <w:pPr>
        <w:pStyle w:val="NoPaddingFontSize1"/>
      </w:pPr>
    </w:p>
    <w:p w:rsidR="00000000" w:rsidRPr="00711A78" w:rsidP="00711A78">
      <w:pPr>
        <w:pStyle w:val="AllowPageBreak"/>
      </w:pPr>
    </w:p>
    <w:p w:rsidR="00000000" w:rsidRPr="00711A78" w:rsidP="00711A78">
      <w:pPr>
        <w:pStyle w:val="Heading1"/>
      </w:pPr>
      <w:bookmarkStart w:id="5" w:name="O_1003323"/>
      <w:bookmarkEnd w:id="5"/>
      <w:r w:rsidRPr="00711A78">
        <w:t>Links</w:t>
      </w:r>
    </w:p>
    <w:p w:rsidR="00000000" w:rsidRPr="00711A78" w:rsidP="00BC4203">
      <w:pPr>
        <w:pStyle w:val="BodyText"/>
      </w:pPr>
      <w:r w:rsidRPr="00711A78">
        <w:t>UET Trainin</w:t>
      </w:r>
      <w:r w:rsidRPr="00711A78">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6A15">
        <w:rPr>
          <w:rStyle w:val="Hyperlink"/>
        </w:rPr>
        <w:t>https://vetnet.gov.au/Pages/TrainingDocs.aspx?q=229bace1-b7bc-4653-9300-dffb13ecfad7</w:t>
      </w:r>
      <w:r>
        <w:fldChar w:fldCharType="end"/>
      </w:r>
    </w:p>
    <w:p w:rsidR="00000000" w:rsidRPr="00711A78" w:rsidP="00711A78"/>
    <w:sectPr w:rsidSect="00711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78" w:rsidRPr="00BC4203" w:rsidP="00BC4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03" w:rsidP="00711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203" w:rsidP="00711A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4203" w:rsidP="00711A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A78" w:rsidRPr="00BC4203" w:rsidP="00BC4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203" w:rsidRPr="002D2AF8" w:rsidP="00711A78">
    <w:pPr>
      <w:pStyle w:val="Header"/>
      <w:framePr w:wrap="around"/>
    </w:pPr>
    <w:r>
      <w:fldChar w:fldCharType="begin"/>
    </w:r>
    <w:r>
      <w:instrText xml:space="preserve"> TITLE   \* MERGEFORMAT </w:instrText>
    </w:r>
    <w:r>
      <w:fldChar w:fldCharType="separate"/>
    </w:r>
    <w:r>
      <w:t>Assessment Requirements for UETTDRIS48 Develop high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C4203" w:rsidP="00711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86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24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4B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A78"/>
    <w:pPr>
      <w:spacing w:before="360" w:after="60"/>
      <w:outlineLvl w:val="0"/>
    </w:pPr>
    <w:rPr>
      <w:sz w:val="32"/>
    </w:rPr>
  </w:style>
  <w:style w:type="paragraph" w:styleId="Heading2">
    <w:name w:val="heading 2"/>
    <w:basedOn w:val="HeadingBase"/>
    <w:next w:val="BodyText"/>
    <w:link w:val="Heading2Char"/>
    <w:qFormat/>
    <w:rsid w:val="00711A78"/>
    <w:pPr>
      <w:keepLines/>
      <w:spacing w:before="240" w:after="120"/>
      <w:outlineLvl w:val="1"/>
    </w:pPr>
    <w:rPr>
      <w:sz w:val="28"/>
      <w:szCs w:val="40"/>
    </w:rPr>
  </w:style>
  <w:style w:type="paragraph" w:styleId="Heading3">
    <w:name w:val="heading 3"/>
    <w:basedOn w:val="HeadingBase"/>
    <w:next w:val="BodyText"/>
    <w:link w:val="Heading3Char"/>
    <w:qFormat/>
    <w:rsid w:val="00711A78"/>
    <w:pPr>
      <w:spacing w:before="180" w:after="120"/>
      <w:outlineLvl w:val="2"/>
    </w:pPr>
    <w:rPr>
      <w:spacing w:val="-10"/>
      <w:kern w:val="32"/>
    </w:rPr>
  </w:style>
  <w:style w:type="paragraph" w:styleId="Heading4">
    <w:name w:val="heading 4"/>
    <w:basedOn w:val="HeadingBase"/>
    <w:next w:val="BodyText"/>
    <w:link w:val="Heading4Char"/>
    <w:qFormat/>
    <w:rsid w:val="00711A78"/>
    <w:pPr>
      <w:spacing w:before="160" w:after="120"/>
      <w:outlineLvl w:val="3"/>
    </w:pPr>
    <w:rPr>
      <w:sz w:val="22"/>
    </w:rPr>
  </w:style>
  <w:style w:type="paragraph" w:styleId="Heading5">
    <w:name w:val="heading 5"/>
    <w:basedOn w:val="HeadingBase"/>
    <w:next w:val="Normal"/>
    <w:link w:val="Heading5Char"/>
    <w:qFormat/>
    <w:rsid w:val="00711A78"/>
    <w:pPr>
      <w:spacing w:before="80"/>
      <w:outlineLvl w:val="4"/>
    </w:pPr>
    <w:rPr>
      <w:color w:val="918585"/>
      <w:sz w:val="20"/>
    </w:rPr>
  </w:style>
  <w:style w:type="paragraph" w:styleId="Heading6">
    <w:name w:val="heading 6"/>
    <w:basedOn w:val="HeadingBase"/>
    <w:next w:val="Normal"/>
    <w:link w:val="Heading6Char"/>
    <w:qFormat/>
    <w:rsid w:val="00711A78"/>
    <w:pPr>
      <w:spacing w:before="60"/>
      <w:outlineLvl w:val="5"/>
    </w:pPr>
    <w:rPr>
      <w:color w:val="918585"/>
      <w:sz w:val="20"/>
    </w:rPr>
  </w:style>
  <w:style w:type="paragraph" w:styleId="Heading7">
    <w:name w:val="heading 7"/>
    <w:basedOn w:val="Normal"/>
    <w:next w:val="Normal"/>
    <w:link w:val="Heading7Char"/>
    <w:qFormat/>
    <w:rsid w:val="00711A78"/>
    <w:pPr>
      <w:ind w:left="720"/>
      <w:outlineLvl w:val="6"/>
    </w:pPr>
    <w:rPr>
      <w:i/>
    </w:rPr>
  </w:style>
  <w:style w:type="paragraph" w:styleId="Heading8">
    <w:name w:val="heading 8"/>
    <w:basedOn w:val="Normal"/>
    <w:next w:val="Normal"/>
    <w:link w:val="Heading8Char"/>
    <w:qFormat/>
    <w:rsid w:val="00711A78"/>
    <w:pPr>
      <w:ind w:left="720"/>
      <w:outlineLvl w:val="7"/>
    </w:pPr>
    <w:rPr>
      <w:i/>
    </w:rPr>
  </w:style>
  <w:style w:type="paragraph" w:styleId="Heading9">
    <w:name w:val="heading 9"/>
    <w:basedOn w:val="Normal"/>
    <w:next w:val="Normal"/>
    <w:link w:val="Heading9Char"/>
    <w:qFormat/>
    <w:rsid w:val="00711A78"/>
    <w:pPr>
      <w:ind w:left="720"/>
      <w:outlineLvl w:val="8"/>
    </w:pPr>
    <w:rPr>
      <w:i/>
    </w:rPr>
  </w:style>
  <w:style w:type="character" w:default="1" w:styleId="DefaultParagraphFont">
    <w:name w:val="Default Paragraph Font"/>
    <w:uiPriority w:val="1"/>
    <w:unhideWhenUsed/>
    <w:rsid w:val="00711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A78"/>
  </w:style>
  <w:style w:type="character" w:customStyle="1" w:styleId="Heading1Char">
    <w:name w:val="Heading 1 Char"/>
    <w:basedOn w:val="DefaultParagraphFont"/>
    <w:link w:val="Heading1"/>
    <w:rsid w:val="00711A78"/>
    <w:rPr>
      <w:rFonts w:ascii="Times New Roman" w:eastAsia="Times New Roman" w:hAnsi="Times New Roman" w:cs="Times New Roman"/>
      <w:b/>
      <w:sz w:val="32"/>
      <w:szCs w:val="20"/>
      <w:lang w:eastAsia="en-US"/>
    </w:rPr>
  </w:style>
  <w:style w:type="paragraph" w:styleId="BodyText">
    <w:name w:val="Body Text"/>
    <w:basedOn w:val="Normal"/>
    <w:link w:val="BodyTextChar"/>
    <w:rsid w:val="00711A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A78"/>
    <w:rPr>
      <w:rFonts w:ascii="Times New Roman" w:eastAsia="Times New Roman" w:hAnsi="Times New Roman" w:cs="Times New Roman"/>
      <w:sz w:val="24"/>
      <w:lang w:eastAsia="en-US"/>
    </w:rPr>
  </w:style>
  <w:style w:type="paragraph" w:styleId="ListBullet">
    <w:name w:val="List Bullet"/>
    <w:basedOn w:val="List"/>
    <w:rsid w:val="00711A78"/>
    <w:pPr>
      <w:numPr>
        <w:numId w:val="12"/>
      </w:numPr>
      <w:tabs>
        <w:tab w:val="clear" w:pos="340"/>
      </w:tabs>
      <w:spacing w:before="40" w:after="40"/>
    </w:pPr>
  </w:style>
  <w:style w:type="paragraph" w:styleId="ListBullet2">
    <w:name w:val="List Bullet 2"/>
    <w:basedOn w:val="List2"/>
    <w:rsid w:val="00711A78"/>
    <w:pPr>
      <w:numPr>
        <w:numId w:val="13"/>
      </w:numPr>
      <w:tabs>
        <w:tab w:val="clear" w:pos="680"/>
      </w:tabs>
    </w:pPr>
  </w:style>
  <w:style w:type="paragraph" w:customStyle="1" w:styleId="SuperHeading">
    <w:name w:val="SuperHeading"/>
    <w:basedOn w:val="Normal"/>
    <w:rsid w:val="00711A78"/>
    <w:pPr>
      <w:spacing w:before="240" w:after="120"/>
      <w:outlineLvl w:val="0"/>
    </w:pPr>
    <w:rPr>
      <w:rFonts w:ascii="Times New Roman" w:hAnsi="Times New Roman"/>
      <w:b/>
      <w:sz w:val="32"/>
    </w:rPr>
  </w:style>
  <w:style w:type="paragraph" w:customStyle="1" w:styleId="AllowPageBreak">
    <w:name w:val="AllowPageBreak"/>
    <w:rsid w:val="00711A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1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A78"/>
    <w:rPr>
      <w:rFonts w:ascii="Courier New" w:eastAsia="Times New Roman" w:hAnsi="Courier New" w:cs="Times New Roman"/>
      <w:i/>
      <w:szCs w:val="20"/>
      <w:lang w:eastAsia="en-US"/>
    </w:rPr>
  </w:style>
  <w:style w:type="paragraph" w:customStyle="1" w:styleId="HeadingBase">
    <w:name w:val="Heading Base"/>
    <w:rsid w:val="00711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A78"/>
    <w:pPr>
      <w:tabs>
        <w:tab w:val="right" w:leader="dot" w:pos="9072"/>
      </w:tabs>
      <w:ind w:left="567"/>
    </w:pPr>
    <w:rPr>
      <w:szCs w:val="22"/>
    </w:rPr>
  </w:style>
  <w:style w:type="paragraph" w:customStyle="1" w:styleId="TOCBase">
    <w:name w:val="TOC Base"/>
    <w:rsid w:val="00711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A78"/>
    <w:pPr>
      <w:tabs>
        <w:tab w:val="right" w:leader="dot" w:pos="9072"/>
      </w:tabs>
      <w:spacing w:before="40" w:after="40"/>
      <w:ind w:left="284"/>
    </w:pPr>
    <w:rPr>
      <w:rFonts w:ascii="Times New Roman" w:hAnsi="Times New Roman"/>
    </w:rPr>
  </w:style>
  <w:style w:type="paragraph" w:styleId="TOC1">
    <w:name w:val="toc 1"/>
    <w:basedOn w:val="TOCBase"/>
    <w:next w:val="Normal"/>
    <w:rsid w:val="00711A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A78"/>
    <w:rPr>
      <w:rFonts w:ascii="Times New Roman" w:eastAsia="Times New Roman" w:hAnsi="Times New Roman" w:cs="Times New Roman"/>
      <w:sz w:val="16"/>
      <w:lang w:eastAsia="en-US"/>
    </w:rPr>
  </w:style>
  <w:style w:type="paragraph" w:styleId="Title">
    <w:name w:val="Title"/>
    <w:basedOn w:val="HeadingBase"/>
    <w:link w:val="TitleChar"/>
    <w:qFormat/>
    <w:rsid w:val="00711A78"/>
    <w:pPr>
      <w:spacing w:before="5040"/>
      <w:jc w:val="center"/>
    </w:pPr>
    <w:rPr>
      <w:sz w:val="48"/>
      <w:szCs w:val="72"/>
      <w:lang w:val="en-US"/>
    </w:rPr>
  </w:style>
  <w:style w:type="character" w:customStyle="1" w:styleId="TitleChar">
    <w:name w:val="Title Char"/>
    <w:basedOn w:val="DefaultParagraphFont"/>
    <w:link w:val="Title"/>
    <w:rsid w:val="00711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A78"/>
    <w:pPr>
      <w:tabs>
        <w:tab w:val="left" w:pos="3600"/>
        <w:tab w:val="left" w:pos="3958"/>
      </w:tabs>
    </w:pPr>
  </w:style>
  <w:style w:type="paragraph" w:styleId="List">
    <w:name w:val="List"/>
    <w:basedOn w:val="BodyText"/>
    <w:next w:val="BodyText"/>
    <w:rsid w:val="00711A78"/>
    <w:pPr>
      <w:tabs>
        <w:tab w:val="left" w:pos="340"/>
      </w:tabs>
      <w:spacing w:before="60" w:after="60"/>
      <w:ind w:left="340" w:hanging="340"/>
    </w:pPr>
  </w:style>
  <w:style w:type="paragraph" w:customStyle="1" w:styleId="Note">
    <w:name w:val="Note"/>
    <w:basedOn w:val="BodyText"/>
    <w:rsid w:val="00711A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1A78"/>
    <w:rPr>
      <w:b/>
      <w:spacing w:val="0"/>
    </w:rPr>
  </w:style>
  <w:style w:type="paragraph" w:customStyle="1" w:styleId="SuperTitle">
    <w:name w:val="SuperTitle"/>
    <w:basedOn w:val="Title"/>
    <w:rsid w:val="00711A78"/>
    <w:pPr>
      <w:framePr w:wrap="auto" w:hAnchor="text" w:y="6049"/>
    </w:pPr>
    <w:rPr>
      <w:color w:val="000000"/>
      <w:sz w:val="40"/>
    </w:rPr>
  </w:style>
  <w:style w:type="paragraph" w:customStyle="1" w:styleId="TOCTitle">
    <w:name w:val="TOCTitle"/>
    <w:basedOn w:val="Heading1"/>
    <w:rsid w:val="00711A78"/>
    <w:pPr>
      <w:spacing w:after="240"/>
      <w:jc w:val="center"/>
      <w:outlineLvl w:val="9"/>
    </w:pPr>
    <w:rPr>
      <w:caps/>
    </w:rPr>
  </w:style>
  <w:style w:type="paragraph" w:customStyle="1" w:styleId="Version">
    <w:name w:val="Version"/>
    <w:rsid w:val="00711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A78"/>
    <w:pPr>
      <w:keepNext w:val="0"/>
      <w:tabs>
        <w:tab w:val="right" w:pos="4176"/>
      </w:tabs>
      <w:ind w:left="198" w:hanging="198"/>
    </w:pPr>
    <w:rPr>
      <w:rFonts w:ascii="Garamond" w:hAnsi="Garamond"/>
    </w:rPr>
  </w:style>
  <w:style w:type="paragraph" w:styleId="IndexHeading">
    <w:name w:val="index heading"/>
    <w:basedOn w:val="Normal"/>
    <w:next w:val="Index1"/>
    <w:semiHidden/>
    <w:rsid w:val="00711A78"/>
    <w:pPr>
      <w:spacing w:before="120" w:after="120"/>
    </w:pPr>
    <w:rPr>
      <w:rFonts w:ascii="Arial" w:hAnsi="Arial"/>
      <w:b/>
      <w:color w:val="918585"/>
      <w:sz w:val="24"/>
    </w:rPr>
  </w:style>
  <w:style w:type="paragraph" w:styleId="Header">
    <w:name w:val="header"/>
    <w:basedOn w:val="Normal"/>
    <w:link w:val="HeaderChar"/>
    <w:rsid w:val="00711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A78"/>
    <w:rPr>
      <w:rFonts w:ascii="Times New Roman" w:eastAsia="Times New Roman" w:hAnsi="Times New Roman" w:cs="Times New Roman"/>
      <w:sz w:val="16"/>
      <w:szCs w:val="20"/>
      <w:lang w:val="en-GB" w:eastAsia="en-US"/>
    </w:rPr>
  </w:style>
  <w:style w:type="paragraph" w:customStyle="1" w:styleId="Chapter">
    <w:name w:val="Chapter"/>
    <w:basedOn w:val="Normal"/>
    <w:rsid w:val="00711A78"/>
    <w:pPr>
      <w:spacing w:before="240"/>
    </w:pPr>
    <w:rPr>
      <w:rFonts w:ascii="Times New Roman" w:hAnsi="Times New Roman"/>
      <w:smallCaps/>
      <w:spacing w:val="80"/>
      <w:sz w:val="28"/>
    </w:rPr>
  </w:style>
  <w:style w:type="paragraph" w:customStyle="1" w:styleId="InChapter">
    <w:name w:val="InChapter"/>
    <w:basedOn w:val="Heading3"/>
    <w:rsid w:val="00711A78"/>
    <w:pPr>
      <w:spacing w:after="240"/>
      <w:outlineLvl w:val="9"/>
    </w:pPr>
    <w:rPr>
      <w:noProof/>
    </w:rPr>
  </w:style>
  <w:style w:type="paragraph" w:styleId="Index2">
    <w:name w:val="index 2"/>
    <w:basedOn w:val="Normal"/>
    <w:next w:val="Normal"/>
    <w:semiHidden/>
    <w:rsid w:val="00711A78"/>
    <w:pPr>
      <w:tabs>
        <w:tab w:val="right" w:pos="4176"/>
      </w:tabs>
      <w:ind w:left="568" w:hanging="284"/>
    </w:pPr>
    <w:rPr>
      <w:rFonts w:ascii="Garamond" w:hAnsi="Garamond"/>
    </w:rPr>
  </w:style>
  <w:style w:type="paragraph" w:customStyle="1" w:styleId="Byline">
    <w:name w:val="Byline"/>
    <w:rsid w:val="00711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A78"/>
    <w:pPr>
      <w:tabs>
        <w:tab w:val="clear" w:pos="3600"/>
        <w:tab w:val="clear" w:pos="3958"/>
      </w:tabs>
      <w:jc w:val="right"/>
    </w:pPr>
  </w:style>
  <w:style w:type="character" w:styleId="Emphasis">
    <w:name w:val="Emphasis"/>
    <w:basedOn w:val="DefaultParagraphFont"/>
    <w:qFormat/>
    <w:rsid w:val="00711A78"/>
    <w:rPr>
      <w:i/>
    </w:rPr>
  </w:style>
  <w:style w:type="paragraph" w:styleId="Caption">
    <w:name w:val="caption"/>
    <w:basedOn w:val="BodyText"/>
    <w:next w:val="Normal"/>
    <w:qFormat/>
    <w:rsid w:val="00711A78"/>
    <w:pPr>
      <w:framePr w:w="2268" w:hSpace="181" w:vSpace="181" w:wrap="around" w:vAnchor="text" w:hAnchor="page" w:x="1135" w:y="285" w:anchorLock="1"/>
    </w:pPr>
    <w:rPr>
      <w:i/>
    </w:rPr>
  </w:style>
  <w:style w:type="paragraph" w:customStyle="1" w:styleId="MiniTOCTitle">
    <w:name w:val="MiniTOCTitle"/>
    <w:basedOn w:val="Heading4"/>
    <w:rsid w:val="00711A78"/>
    <w:pPr>
      <w:spacing w:before="240"/>
      <w:outlineLvl w:val="9"/>
    </w:pPr>
    <w:rPr>
      <w:noProof/>
      <w:sz w:val="24"/>
    </w:rPr>
  </w:style>
  <w:style w:type="paragraph" w:customStyle="1" w:styleId="MiniTOCItem">
    <w:name w:val="MiniTOCItem"/>
    <w:basedOn w:val="ListBullet"/>
    <w:rsid w:val="00711A78"/>
    <w:pPr>
      <w:numPr>
        <w:numId w:val="0"/>
      </w:numPr>
      <w:tabs>
        <w:tab w:val="right" w:leader="dot" w:pos="6521"/>
      </w:tabs>
      <w:spacing w:before="0" w:after="0"/>
    </w:pPr>
  </w:style>
  <w:style w:type="paragraph" w:customStyle="1" w:styleId="TOFTitle">
    <w:name w:val="TOFTitle"/>
    <w:basedOn w:val="TOCTitle"/>
    <w:rsid w:val="00711A78"/>
  </w:style>
  <w:style w:type="paragraph" w:styleId="TableofFigures">
    <w:name w:val="table of figures"/>
    <w:basedOn w:val="Normal"/>
    <w:next w:val="Normal"/>
    <w:semiHidden/>
    <w:rsid w:val="00711A78"/>
    <w:pPr>
      <w:tabs>
        <w:tab w:val="right" w:leader="dot" w:pos="9072"/>
      </w:tabs>
      <w:ind w:left="970" w:hanging="403"/>
    </w:pPr>
    <w:rPr>
      <w:rFonts w:ascii="Times New Roman" w:hAnsi="Times New Roman"/>
      <w:b/>
    </w:rPr>
  </w:style>
  <w:style w:type="paragraph" w:styleId="ListNumber">
    <w:name w:val="List Number"/>
    <w:basedOn w:val="List"/>
    <w:rsid w:val="00711A78"/>
    <w:pPr>
      <w:numPr>
        <w:numId w:val="15"/>
      </w:numPr>
      <w:tabs>
        <w:tab w:val="clear" w:pos="340"/>
      </w:tabs>
    </w:pPr>
  </w:style>
  <w:style w:type="character" w:customStyle="1" w:styleId="WingdingSymbols">
    <w:name w:val="Wingding Symbols"/>
    <w:rsid w:val="00711A78"/>
    <w:rPr>
      <w:rFonts w:ascii="Wingdings" w:hAnsi="Wingdings"/>
    </w:rPr>
  </w:style>
  <w:style w:type="paragraph" w:customStyle="1" w:styleId="TableHeading">
    <w:name w:val="Table Heading"/>
    <w:basedOn w:val="HeadingBase"/>
    <w:rsid w:val="00711A78"/>
    <w:pPr>
      <w:keepLines/>
      <w:pBdr>
        <w:bottom w:val="single" w:sz="6" w:space="1" w:color="918585"/>
      </w:pBdr>
      <w:spacing w:before="240"/>
    </w:pPr>
  </w:style>
  <w:style w:type="character" w:customStyle="1" w:styleId="HotSpot">
    <w:name w:val="HotSpot"/>
    <w:rsid w:val="00711A78"/>
    <w:rPr>
      <w:color w:val="0033CC"/>
      <w:u w:val="none"/>
    </w:rPr>
  </w:style>
  <w:style w:type="paragraph" w:customStyle="1" w:styleId="BodyTextRight">
    <w:name w:val="Body Text Right"/>
    <w:basedOn w:val="BodyText"/>
    <w:rsid w:val="00711A78"/>
    <w:pPr>
      <w:spacing w:before="0" w:after="0"/>
      <w:jc w:val="right"/>
    </w:pPr>
  </w:style>
  <w:style w:type="paragraph" w:styleId="Index3">
    <w:name w:val="index 3"/>
    <w:basedOn w:val="ListNumber2"/>
    <w:next w:val="Normal"/>
    <w:semiHidden/>
    <w:rsid w:val="00711A78"/>
    <w:pPr>
      <w:numPr>
        <w:numId w:val="0"/>
      </w:numPr>
      <w:tabs>
        <w:tab w:val="right" w:leader="dot" w:pos="4176"/>
      </w:tabs>
    </w:pPr>
  </w:style>
  <w:style w:type="paragraph" w:styleId="ListNumber2">
    <w:name w:val="List Number 2"/>
    <w:basedOn w:val="List2"/>
    <w:rsid w:val="00711A78"/>
    <w:pPr>
      <w:numPr>
        <w:numId w:val="10"/>
      </w:numPr>
      <w:tabs>
        <w:tab w:val="clear" w:pos="1060"/>
      </w:tabs>
    </w:pPr>
  </w:style>
  <w:style w:type="paragraph" w:customStyle="1" w:styleId="MarginNote">
    <w:name w:val="Margin Note"/>
    <w:basedOn w:val="BodyText"/>
    <w:rsid w:val="00711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A78"/>
    <w:rPr>
      <w:sz w:val="32"/>
    </w:rPr>
  </w:style>
  <w:style w:type="paragraph" w:customStyle="1" w:styleId="HeadingProcedure">
    <w:name w:val="Heading Procedure"/>
    <w:basedOn w:val="HeadingBase"/>
    <w:next w:val="Normal"/>
    <w:rsid w:val="00711A78"/>
    <w:pPr>
      <w:tabs>
        <w:tab w:val="left" w:pos="0"/>
      </w:tabs>
      <w:spacing w:before="120" w:after="60"/>
    </w:pPr>
    <w:rPr>
      <w:i/>
      <w:color w:val="918585"/>
      <w:sz w:val="22"/>
    </w:rPr>
  </w:style>
  <w:style w:type="paragraph" w:customStyle="1" w:styleId="TableBodyText">
    <w:name w:val="Table Body Text"/>
    <w:basedOn w:val="BodyText"/>
    <w:rsid w:val="00711A78"/>
    <w:pPr>
      <w:spacing w:before="60" w:after="60"/>
    </w:pPr>
  </w:style>
  <w:style w:type="paragraph" w:styleId="ListContinue">
    <w:name w:val="List Continue"/>
    <w:basedOn w:val="List"/>
    <w:rsid w:val="00711A78"/>
    <w:pPr>
      <w:ind w:firstLine="0"/>
    </w:pPr>
  </w:style>
  <w:style w:type="paragraph" w:customStyle="1" w:styleId="ListNote">
    <w:name w:val="List Note"/>
    <w:basedOn w:val="List"/>
    <w:rsid w:val="00711A78"/>
    <w:pPr>
      <w:pBdr>
        <w:top w:val="single" w:sz="6" w:space="2" w:color="918585"/>
        <w:bottom w:val="single" w:sz="6" w:space="2" w:color="918585"/>
      </w:pBdr>
      <w:tabs>
        <w:tab w:val="left" w:pos="1021"/>
      </w:tabs>
      <w:ind w:firstLine="0"/>
    </w:pPr>
  </w:style>
  <w:style w:type="paragraph" w:customStyle="1" w:styleId="Warning">
    <w:name w:val="Warning"/>
    <w:basedOn w:val="BodyText"/>
    <w:rsid w:val="00711A78"/>
    <w:pPr>
      <w:shd w:val="clear" w:color="auto" w:fill="D9D9D9"/>
      <w:tabs>
        <w:tab w:val="left" w:pos="992"/>
      </w:tabs>
      <w:ind w:left="119" w:right="119"/>
    </w:pPr>
    <w:rPr>
      <w:sz w:val="20"/>
    </w:rPr>
  </w:style>
  <w:style w:type="paragraph" w:customStyle="1" w:styleId="MarginIcons">
    <w:name w:val="Margin Icons"/>
    <w:basedOn w:val="BodyText"/>
    <w:rsid w:val="00711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A78"/>
    <w:rPr>
      <w:rFonts w:ascii="Courier New" w:hAnsi="Courier New"/>
    </w:rPr>
  </w:style>
  <w:style w:type="paragraph" w:customStyle="1" w:styleId="NoteBullet">
    <w:name w:val="Note Bullet"/>
    <w:basedOn w:val="Note"/>
    <w:rsid w:val="00711A78"/>
    <w:pPr>
      <w:tabs>
        <w:tab w:val="clear" w:pos="680"/>
      </w:tabs>
      <w:spacing w:before="60" w:after="60"/>
    </w:pPr>
  </w:style>
  <w:style w:type="paragraph" w:customStyle="1" w:styleId="SubHeading2">
    <w:name w:val="SubHeading2"/>
    <w:basedOn w:val="HeadingBase"/>
    <w:rsid w:val="00711A78"/>
    <w:pPr>
      <w:spacing w:before="240" w:after="60"/>
    </w:pPr>
    <w:rPr>
      <w:sz w:val="20"/>
    </w:rPr>
  </w:style>
  <w:style w:type="paragraph" w:customStyle="1" w:styleId="SubHeading1">
    <w:name w:val="SubHeading1"/>
    <w:basedOn w:val="HeadingBase"/>
    <w:rsid w:val="00711A78"/>
    <w:pPr>
      <w:spacing w:before="240" w:after="60"/>
    </w:pPr>
    <w:rPr>
      <w:color w:val="918585"/>
      <w:sz w:val="22"/>
    </w:rPr>
  </w:style>
  <w:style w:type="paragraph" w:customStyle="1" w:styleId="SideHeading">
    <w:name w:val="Side Heading"/>
    <w:basedOn w:val="HeadingBase"/>
    <w:rsid w:val="00711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A78"/>
    <w:pPr>
      <w:tabs>
        <w:tab w:val="num" w:pos="360"/>
      </w:tabs>
    </w:pPr>
  </w:style>
  <w:style w:type="paragraph" w:styleId="PlainText">
    <w:name w:val="Plain Text"/>
    <w:basedOn w:val="Normal"/>
    <w:link w:val="PlainTextChar"/>
    <w:rsid w:val="00711A78"/>
    <w:rPr>
      <w:sz w:val="20"/>
    </w:rPr>
  </w:style>
  <w:style w:type="character" w:customStyle="1" w:styleId="PlainTextChar">
    <w:name w:val="Plain Text Char"/>
    <w:basedOn w:val="DefaultParagraphFont"/>
    <w:link w:val="PlainText"/>
    <w:rsid w:val="00711A78"/>
    <w:rPr>
      <w:rFonts w:ascii="Courier New" w:eastAsia="Times New Roman" w:hAnsi="Courier New" w:cs="Times New Roman"/>
      <w:sz w:val="20"/>
      <w:szCs w:val="20"/>
      <w:lang w:eastAsia="en-US"/>
    </w:rPr>
  </w:style>
  <w:style w:type="character" w:customStyle="1" w:styleId="MenuOption">
    <w:name w:val="Menu Option"/>
    <w:basedOn w:val="DefaultParagraphFont"/>
    <w:rsid w:val="00711A78"/>
    <w:rPr>
      <w:b/>
      <w:smallCaps/>
    </w:rPr>
  </w:style>
  <w:style w:type="paragraph" w:customStyle="1" w:styleId="TableListNumber">
    <w:name w:val="Table List Number"/>
    <w:basedOn w:val="ListNumber"/>
    <w:rsid w:val="00711A78"/>
    <w:pPr>
      <w:numPr>
        <w:numId w:val="0"/>
      </w:numPr>
    </w:pPr>
  </w:style>
  <w:style w:type="paragraph" w:styleId="TOC4">
    <w:name w:val="toc 4"/>
    <w:basedOn w:val="TOCBase"/>
    <w:next w:val="Normal"/>
    <w:semiHidden/>
    <w:rsid w:val="00711A78"/>
    <w:pPr>
      <w:tabs>
        <w:tab w:val="right" w:leader="dot" w:pos="9071"/>
      </w:tabs>
      <w:ind w:left="1701"/>
    </w:pPr>
  </w:style>
  <w:style w:type="paragraph" w:customStyle="1" w:styleId="ListAlpha">
    <w:name w:val="List Alpha"/>
    <w:basedOn w:val="List"/>
    <w:rsid w:val="00711A78"/>
    <w:pPr>
      <w:numPr>
        <w:numId w:val="9"/>
      </w:numPr>
    </w:pPr>
  </w:style>
  <w:style w:type="paragraph" w:customStyle="1" w:styleId="ListAlpha2">
    <w:name w:val="List Alpha 2"/>
    <w:basedOn w:val="List2"/>
    <w:rsid w:val="00711A78"/>
    <w:pPr>
      <w:numPr>
        <w:numId w:val="8"/>
      </w:numPr>
    </w:pPr>
  </w:style>
  <w:style w:type="paragraph" w:styleId="List2">
    <w:name w:val="List 2"/>
    <w:basedOn w:val="BodyText"/>
    <w:rsid w:val="00711A78"/>
    <w:pPr>
      <w:tabs>
        <w:tab w:val="left" w:pos="680"/>
      </w:tabs>
      <w:spacing w:before="60" w:after="60"/>
      <w:ind w:left="680" w:hanging="340"/>
    </w:pPr>
  </w:style>
  <w:style w:type="paragraph" w:styleId="List3">
    <w:name w:val="List 3"/>
    <w:basedOn w:val="BodyText"/>
    <w:rsid w:val="00711A78"/>
    <w:pPr>
      <w:tabs>
        <w:tab w:val="left" w:pos="1021"/>
      </w:tabs>
      <w:spacing w:before="60" w:after="60"/>
      <w:ind w:left="1020" w:hanging="340"/>
    </w:pPr>
  </w:style>
  <w:style w:type="paragraph" w:styleId="List4">
    <w:name w:val="List 4"/>
    <w:basedOn w:val="BodyText"/>
    <w:rsid w:val="00711A78"/>
    <w:pPr>
      <w:tabs>
        <w:tab w:val="left" w:pos="1361"/>
      </w:tabs>
      <w:spacing w:before="60" w:after="60"/>
      <w:ind w:left="1361" w:hanging="340"/>
    </w:pPr>
  </w:style>
  <w:style w:type="paragraph" w:styleId="List5">
    <w:name w:val="List 5"/>
    <w:basedOn w:val="BodyText"/>
    <w:rsid w:val="00711A78"/>
    <w:pPr>
      <w:tabs>
        <w:tab w:val="left" w:pos="1701"/>
      </w:tabs>
      <w:spacing w:before="60" w:after="60"/>
      <w:ind w:left="1701" w:hanging="340"/>
    </w:pPr>
  </w:style>
  <w:style w:type="paragraph" w:styleId="ListBullet3">
    <w:name w:val="List Bullet 3"/>
    <w:basedOn w:val="List3"/>
    <w:rsid w:val="00711A78"/>
    <w:pPr>
      <w:numPr>
        <w:numId w:val="14"/>
      </w:numPr>
      <w:tabs>
        <w:tab w:val="clear" w:pos="1021"/>
      </w:tabs>
      <w:ind w:left="1037" w:hanging="357"/>
    </w:pPr>
  </w:style>
  <w:style w:type="paragraph" w:styleId="ListBullet4">
    <w:name w:val="List Bullet 4"/>
    <w:basedOn w:val="List4"/>
    <w:rsid w:val="00711A78"/>
    <w:pPr>
      <w:numPr>
        <w:numId w:val="3"/>
      </w:numPr>
      <w:tabs>
        <w:tab w:val="clear" w:pos="1361"/>
      </w:tabs>
    </w:pPr>
  </w:style>
  <w:style w:type="paragraph" w:styleId="ListBullet5">
    <w:name w:val="List Bullet 5"/>
    <w:basedOn w:val="List5"/>
    <w:rsid w:val="00711A78"/>
    <w:pPr>
      <w:numPr>
        <w:numId w:val="4"/>
      </w:numPr>
    </w:pPr>
  </w:style>
  <w:style w:type="paragraph" w:styleId="ListContinue2">
    <w:name w:val="List Continue 2"/>
    <w:basedOn w:val="List2"/>
    <w:rsid w:val="00711A78"/>
    <w:pPr>
      <w:ind w:firstLine="0"/>
    </w:pPr>
  </w:style>
  <w:style w:type="paragraph" w:styleId="ListContinue3">
    <w:name w:val="List Continue 3"/>
    <w:basedOn w:val="List3"/>
    <w:rsid w:val="00711A78"/>
    <w:pPr>
      <w:ind w:left="1021" w:firstLine="0"/>
    </w:pPr>
  </w:style>
  <w:style w:type="paragraph" w:styleId="ListContinue4">
    <w:name w:val="List Continue 4"/>
    <w:basedOn w:val="List4"/>
    <w:rsid w:val="00711A78"/>
    <w:pPr>
      <w:ind w:firstLine="0"/>
    </w:pPr>
  </w:style>
  <w:style w:type="paragraph" w:styleId="ListContinue5">
    <w:name w:val="List Continue 5"/>
    <w:basedOn w:val="List5"/>
    <w:rsid w:val="00711A78"/>
    <w:pPr>
      <w:ind w:firstLine="0"/>
    </w:pPr>
  </w:style>
  <w:style w:type="paragraph" w:styleId="ListNumber3">
    <w:name w:val="List Number 3"/>
    <w:basedOn w:val="List3"/>
    <w:rsid w:val="00711A78"/>
    <w:pPr>
      <w:numPr>
        <w:numId w:val="5"/>
      </w:numPr>
    </w:pPr>
  </w:style>
  <w:style w:type="paragraph" w:styleId="ListNumber4">
    <w:name w:val="List Number 4"/>
    <w:basedOn w:val="List4"/>
    <w:rsid w:val="00711A78"/>
    <w:pPr>
      <w:numPr>
        <w:numId w:val="6"/>
      </w:numPr>
    </w:pPr>
  </w:style>
  <w:style w:type="paragraph" w:styleId="ListNumber5">
    <w:name w:val="List Number 5"/>
    <w:basedOn w:val="List5"/>
    <w:rsid w:val="00711A78"/>
    <w:pPr>
      <w:numPr>
        <w:numId w:val="7"/>
      </w:numPr>
    </w:pPr>
  </w:style>
  <w:style w:type="paragraph" w:styleId="BlockText">
    <w:name w:val="Block Text"/>
    <w:basedOn w:val="Normal"/>
    <w:rsid w:val="00711A78"/>
    <w:pPr>
      <w:spacing w:after="120"/>
      <w:ind w:left="1440" w:right="1440"/>
    </w:pPr>
  </w:style>
  <w:style w:type="character" w:customStyle="1" w:styleId="Subscript">
    <w:name w:val="Subscript"/>
    <w:basedOn w:val="DefaultParagraphFont"/>
    <w:rsid w:val="00711A78"/>
    <w:rPr>
      <w:sz w:val="16"/>
      <w:vertAlign w:val="subscript"/>
    </w:rPr>
  </w:style>
  <w:style w:type="character" w:customStyle="1" w:styleId="Superscript">
    <w:name w:val="Superscript"/>
    <w:basedOn w:val="DefaultParagraphFont"/>
    <w:rsid w:val="00711A78"/>
    <w:rPr>
      <w:sz w:val="16"/>
      <w:vertAlign w:val="superscript"/>
    </w:rPr>
  </w:style>
  <w:style w:type="character" w:customStyle="1" w:styleId="Symbols">
    <w:name w:val="Symbols"/>
    <w:basedOn w:val="DefaultParagraphFont"/>
    <w:rsid w:val="00711A78"/>
    <w:rPr>
      <w:rFonts w:ascii="Symbol" w:hAnsi="Symbol"/>
    </w:rPr>
  </w:style>
  <w:style w:type="character" w:customStyle="1" w:styleId="MenuOptions">
    <w:name w:val="Menu Options"/>
    <w:basedOn w:val="DefaultParagraphFont"/>
    <w:rsid w:val="00711A78"/>
    <w:rPr>
      <w:rFonts w:ascii="Arial Narrow" w:hAnsi="Arial Narrow"/>
      <w:smallCaps/>
    </w:rPr>
  </w:style>
  <w:style w:type="character" w:customStyle="1" w:styleId="Buttons">
    <w:name w:val="Buttons"/>
    <w:basedOn w:val="DefaultParagraphFont"/>
    <w:rsid w:val="00711A78"/>
    <w:rPr>
      <w:b/>
    </w:rPr>
  </w:style>
  <w:style w:type="character" w:customStyle="1" w:styleId="Underlined">
    <w:name w:val="Underlined"/>
    <w:basedOn w:val="DefaultParagraphFont"/>
    <w:rsid w:val="00711A78"/>
    <w:rPr>
      <w:u w:val="single"/>
    </w:rPr>
  </w:style>
  <w:style w:type="paragraph" w:customStyle="1" w:styleId="TableBodyTextRight">
    <w:name w:val="Table Body Text Right"/>
    <w:basedOn w:val="TableBodyText"/>
    <w:rsid w:val="00711A78"/>
    <w:pPr>
      <w:widowControl w:val="0"/>
      <w:autoSpaceDE w:val="0"/>
      <w:autoSpaceDN w:val="0"/>
      <w:adjustRightInd w:val="0"/>
      <w:jc w:val="right"/>
    </w:pPr>
    <w:rPr>
      <w:rFonts w:cs="Arial"/>
      <w:szCs w:val="18"/>
    </w:rPr>
  </w:style>
  <w:style w:type="paragraph" w:customStyle="1" w:styleId="CopyrightText">
    <w:name w:val="Copyright Text"/>
    <w:basedOn w:val="BodyText"/>
    <w:rsid w:val="00711A78"/>
    <w:rPr>
      <w:sz w:val="18"/>
    </w:rPr>
  </w:style>
  <w:style w:type="paragraph" w:customStyle="1" w:styleId="BodySmallRight">
    <w:name w:val="Body Small Right"/>
    <w:basedOn w:val="BodyTextRight"/>
    <w:rsid w:val="00711A78"/>
    <w:rPr>
      <w:sz w:val="18"/>
      <w:szCs w:val="18"/>
    </w:rPr>
  </w:style>
  <w:style w:type="paragraph" w:customStyle="1" w:styleId="MarginEdition">
    <w:name w:val="Margin Edition"/>
    <w:basedOn w:val="MarginNote"/>
    <w:rsid w:val="00711A78"/>
    <w:pPr>
      <w:spacing w:before="0" w:after="0"/>
    </w:pPr>
    <w:rPr>
      <w:rFonts w:ascii="Times New Roman" w:hAnsi="Times New Roman"/>
      <w:color w:val="999999"/>
    </w:rPr>
  </w:style>
  <w:style w:type="paragraph" w:customStyle="1" w:styleId="Spacer">
    <w:name w:val="Spacer"/>
    <w:basedOn w:val="Normal"/>
    <w:rsid w:val="00711A78"/>
    <w:rPr>
      <w:sz w:val="2"/>
      <w:szCs w:val="2"/>
    </w:rPr>
  </w:style>
  <w:style w:type="character" w:customStyle="1" w:styleId="Small">
    <w:name w:val="Small"/>
    <w:basedOn w:val="DefaultParagraphFont"/>
    <w:rsid w:val="00711A78"/>
    <w:rPr>
      <w:sz w:val="16"/>
    </w:rPr>
  </w:style>
  <w:style w:type="paragraph" w:customStyle="1" w:styleId="WideTable">
    <w:name w:val="Wide Table"/>
    <w:basedOn w:val="Normal"/>
    <w:rsid w:val="00711A78"/>
    <w:pPr>
      <w:ind w:left="-1418"/>
    </w:pPr>
    <w:rPr>
      <w:sz w:val="2"/>
      <w:szCs w:val="2"/>
    </w:rPr>
  </w:style>
  <w:style w:type="character" w:styleId="PageNumber">
    <w:name w:val="page number"/>
    <w:basedOn w:val="DefaultParagraphFont"/>
    <w:rsid w:val="00711A78"/>
  </w:style>
  <w:style w:type="paragraph" w:styleId="Quote">
    <w:name w:val="Quote"/>
    <w:basedOn w:val="Heading1"/>
    <w:link w:val="QuoteChar"/>
    <w:qFormat/>
    <w:rsid w:val="00711A78"/>
    <w:rPr>
      <w:b w:val="0"/>
      <w:sz w:val="72"/>
      <w:szCs w:val="72"/>
      <w:lang w:val="en-NZ"/>
    </w:rPr>
  </w:style>
  <w:style w:type="character" w:customStyle="1" w:styleId="QuoteChar">
    <w:name w:val="Quote Char"/>
    <w:basedOn w:val="DefaultParagraphFont"/>
    <w:link w:val="Quote"/>
    <w:rsid w:val="00711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A78"/>
    <w:pPr>
      <w:pageBreakBefore/>
    </w:pPr>
  </w:style>
  <w:style w:type="paragraph" w:customStyle="1" w:styleId="Border">
    <w:name w:val="Border"/>
    <w:basedOn w:val="Normal"/>
    <w:qFormat/>
    <w:rsid w:val="00711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A78"/>
    <w:rPr>
      <w:b/>
      <w:bCs/>
      <w:i/>
      <w:iCs/>
      <w:color w:val="auto"/>
    </w:rPr>
  </w:style>
  <w:style w:type="paragraph" w:styleId="IntenseQuote">
    <w:name w:val="Intense Quote"/>
    <w:basedOn w:val="Normal"/>
    <w:next w:val="Normal"/>
    <w:link w:val="IntenseQuoteChar"/>
    <w:uiPriority w:val="30"/>
    <w:qFormat/>
    <w:rsid w:val="00711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A78"/>
    <w:rPr>
      <w:smallCaps/>
      <w:color w:val="auto"/>
      <w:u w:val="single"/>
    </w:rPr>
  </w:style>
  <w:style w:type="character" w:styleId="IntenseReference">
    <w:name w:val="Intense Reference"/>
    <w:basedOn w:val="DefaultParagraphFont"/>
    <w:uiPriority w:val="32"/>
    <w:qFormat/>
    <w:rsid w:val="00711A78"/>
    <w:rPr>
      <w:b/>
      <w:bCs/>
      <w:smallCaps/>
      <w:color w:val="auto"/>
      <w:spacing w:val="5"/>
      <w:u w:val="single"/>
    </w:rPr>
  </w:style>
  <w:style w:type="paragraph" w:customStyle="1" w:styleId="2ColumnHeading">
    <w:name w:val="2Column Heading"/>
    <w:basedOn w:val="BodyText"/>
    <w:qFormat/>
    <w:rsid w:val="00711A78"/>
    <w:pPr>
      <w:spacing w:after="60"/>
      <w:ind w:left="-2268"/>
    </w:pPr>
    <w:rPr>
      <w:b/>
    </w:rPr>
  </w:style>
  <w:style w:type="paragraph" w:customStyle="1" w:styleId="Heading1TOC">
    <w:name w:val="Heading1 TOC"/>
    <w:basedOn w:val="Normal"/>
    <w:qFormat/>
    <w:rsid w:val="00711A78"/>
    <w:pPr>
      <w:spacing w:before="240" w:after="120"/>
    </w:pPr>
    <w:rPr>
      <w:rFonts w:ascii="Times New Roman" w:hAnsi="Times New Roman"/>
      <w:b/>
      <w:sz w:val="32"/>
    </w:rPr>
  </w:style>
  <w:style w:type="paragraph" w:customStyle="1" w:styleId="Heading2TOC">
    <w:name w:val="Heading2 TOC"/>
    <w:basedOn w:val="Normal"/>
    <w:qFormat/>
    <w:rsid w:val="00711A78"/>
    <w:pPr>
      <w:spacing w:before="240" w:after="60"/>
    </w:pPr>
    <w:rPr>
      <w:rFonts w:ascii="Times New Roman" w:hAnsi="Times New Roman"/>
      <w:b/>
      <w:sz w:val="28"/>
    </w:rPr>
  </w:style>
  <w:style w:type="character" w:customStyle="1" w:styleId="Underline">
    <w:name w:val="Underline"/>
    <w:basedOn w:val="DefaultParagraphFont"/>
    <w:qFormat/>
    <w:rsid w:val="00711A78"/>
    <w:rPr>
      <w:u w:val="single"/>
    </w:rPr>
  </w:style>
  <w:style w:type="character" w:customStyle="1" w:styleId="BoldandItalics">
    <w:name w:val="Bold and Italics"/>
    <w:qFormat/>
    <w:rsid w:val="00711A78"/>
    <w:rPr>
      <w:b/>
      <w:i/>
      <w:u w:val="none"/>
    </w:rPr>
  </w:style>
  <w:style w:type="paragraph" w:styleId="BalloonText">
    <w:name w:val="Balloon Text"/>
    <w:basedOn w:val="Normal"/>
    <w:link w:val="BalloonTextChar"/>
    <w:rsid w:val="00711A78"/>
    <w:rPr>
      <w:rFonts w:ascii="Tahoma" w:hAnsi="Tahoma" w:cs="Tahoma"/>
      <w:sz w:val="16"/>
      <w:szCs w:val="16"/>
    </w:rPr>
  </w:style>
  <w:style w:type="character" w:customStyle="1" w:styleId="BalloonTextChar">
    <w:name w:val="Balloon Text Char"/>
    <w:basedOn w:val="DefaultParagraphFont"/>
    <w:link w:val="BalloonText"/>
    <w:rsid w:val="00711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A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A78"/>
    <w:rPr>
      <w:b/>
      <w:color w:val="660033"/>
      <w:spacing w:val="0"/>
    </w:rPr>
  </w:style>
  <w:style w:type="paragraph" w:customStyle="1" w:styleId="Nameditemlist">
    <w:name w:val="Named item list"/>
    <w:basedOn w:val="BodyText"/>
    <w:qFormat/>
    <w:rsid w:val="00711A78"/>
    <w:pPr>
      <w:tabs>
        <w:tab w:val="left" w:pos="2835"/>
      </w:tabs>
      <w:ind w:left="2835" w:hanging="2835"/>
    </w:pPr>
  </w:style>
  <w:style w:type="paragraph" w:customStyle="1" w:styleId="BodyTextnopadding">
    <w:name w:val="Body Text no padding"/>
    <w:basedOn w:val="BodyText"/>
    <w:qFormat/>
    <w:rsid w:val="00711A78"/>
    <w:pPr>
      <w:spacing w:before="0" w:after="0"/>
    </w:pPr>
  </w:style>
  <w:style w:type="paragraph" w:customStyle="1" w:styleId="BodyTextBold">
    <w:name w:val="Body Text Bold"/>
    <w:basedOn w:val="BodyText"/>
    <w:qFormat/>
    <w:rsid w:val="00711A78"/>
    <w:rPr>
      <w:b/>
    </w:rPr>
  </w:style>
  <w:style w:type="character" w:styleId="Hyperlink">
    <w:name w:val="Hyperlink"/>
    <w:basedOn w:val="DefaultParagraphFont"/>
    <w:uiPriority w:val="99"/>
    <w:unhideWhenUsed/>
    <w:rsid w:val="00BC4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1724</Words>
  <Characters>11919</Characters>
  <Application>Microsoft Office Word</Application>
  <DocSecurity>0</DocSecurity>
  <Lines>220</Lines>
  <Paragraphs>131</Paragraphs>
  <ScaleCrop>false</ScaleCrop>
  <Company>Author-it Software Corporation Ltd.</Company>
  <LinksUpToDate>false</LinksUpToDate>
  <CharactersWithSpaces>13512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UETTDRIS48 Develop high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