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D3B88" w:rsidP="000D3B88">
      <w:pPr>
        <w:pStyle w:val="Title"/>
      </w:pPr>
      <w:r>
        <w:fldChar w:fldCharType="begin"/>
      </w:r>
      <w:r>
        <w:instrText xml:space="preserve"> TITLE   \* MERGEFORMAT </w:instrText>
      </w:r>
      <w:r>
        <w:fldChar w:fldCharType="separate"/>
      </w:r>
      <w:r>
        <w:t>UETTDRIS44 Perform HV field switching operation to a given schedule</w:t>
      </w:r>
      <w:r>
        <w:fldChar w:fldCharType="end"/>
      </w:r>
    </w:p>
    <w:p w:rsidR="000D3B88" w:rsidP="000D3B88">
      <w:pPr>
        <w:pStyle w:val="Version"/>
        <w:sectPr w:rsidSect="00197EA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97EAF" w:rsidP="00197EAF">
      <w:pPr>
        <w:pStyle w:val="SuperHeading"/>
      </w:pPr>
      <w:r w:rsidRPr="00197EAF">
        <w:t>UETTDRIS44 Perform HV field switching operation to a given schedule</w:t>
      </w:r>
    </w:p>
    <w:p w:rsidR="00000000" w:rsidRPr="00197EAF" w:rsidP="00197EAF">
      <w:pPr>
        <w:pStyle w:val="Heading1"/>
      </w:pPr>
      <w:bookmarkStart w:id="1" w:name="O_1003250"/>
      <w:bookmarkEnd w:id="1"/>
      <w:r w:rsidRPr="00197EAF">
        <w:t>Modification History</w:t>
      </w:r>
    </w:p>
    <w:tbl>
      <w:tblPr>
        <w:tblW w:w="9497" w:type="dxa"/>
        <w:tblLayout w:type="fixed"/>
        <w:tblCellMar>
          <w:left w:w="62" w:type="dxa"/>
          <w:right w:w="62" w:type="dxa"/>
        </w:tblCellMar>
        <w:tblLook w:val="0000"/>
      </w:tblPr>
      <w:tblGrid>
        <w:gridCol w:w="9497"/>
      </w:tblGrid>
      <w:tr w:rsidTr="00197EA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97EAF" w:rsidP="00197EAF">
            <w:pPr>
              <w:pStyle w:val="BodyText"/>
            </w:pPr>
            <w:r w:rsidRPr="00197EAF">
              <w:t>Release 1. This is the first release of this unit of competency in the UET Transmission, Distribution and Rail Sector Training Package.</w:t>
            </w:r>
          </w:p>
        </w:tc>
      </w:tr>
    </w:tbl>
    <w:p w:rsidR="00000000" w:rsidRPr="00197EAF" w:rsidP="00197EAF">
      <w:pPr>
        <w:pStyle w:val="NoPaddingFontSize1"/>
      </w:pPr>
    </w:p>
    <w:p w:rsidR="00000000" w:rsidRPr="00197EAF" w:rsidP="00197EAF">
      <w:pPr>
        <w:pStyle w:val="AllowPageBreak"/>
      </w:pPr>
    </w:p>
    <w:p w:rsidR="00000000" w:rsidRPr="00197EAF" w:rsidP="00197EAF">
      <w:pPr>
        <w:pStyle w:val="Heading1"/>
      </w:pPr>
      <w:bookmarkStart w:id="2" w:name="O_1003251"/>
      <w:bookmarkEnd w:id="2"/>
      <w:r w:rsidRPr="00197EAF">
        <w:t>Application</w:t>
      </w:r>
    </w:p>
    <w:tbl>
      <w:tblPr>
        <w:tblW w:w="9497" w:type="dxa"/>
        <w:tblLayout w:type="fixed"/>
        <w:tblCellMar>
          <w:left w:w="62" w:type="dxa"/>
          <w:right w:w="62" w:type="dxa"/>
        </w:tblCellMar>
        <w:tblLook w:val="0000"/>
      </w:tblPr>
      <w:tblGrid>
        <w:gridCol w:w="9497"/>
      </w:tblGrid>
      <w:tr w:rsidTr="00197EA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97EAF" w:rsidP="00197EAF">
            <w:pPr>
              <w:pStyle w:val="BodyText"/>
            </w:pPr>
            <w:r w:rsidRPr="00197EAF">
              <w:t>This unit involves the skills and knowledge required to perform high voltage (HV) field switching operation to a given schedule in the electricity supply industry (ESI).</w:t>
            </w:r>
          </w:p>
          <w:p w:rsidR="00000000" w:rsidRPr="00197EAF" w:rsidP="00197EAF">
            <w:pPr>
              <w:pStyle w:val="BodyText"/>
            </w:pPr>
            <w:r w:rsidRPr="00197EAF">
              <w:t>It includes the operation of circuit breakers, isolating devices,</w:t>
            </w:r>
            <w:r w:rsidRPr="00197EAF">
              <w:t xml:space="preserve"> communicating with switching control officer or electrical control officer, isolating electrical equipment and line or worksite. It also includes proving area is de-energised and applying earthing equipment, issuing/accepting electrical permits and return</w:t>
            </w:r>
            <w:r w:rsidRPr="00197EAF">
              <w:t>ing affected line and electrical equipment to service.</w:t>
            </w:r>
          </w:p>
          <w:p w:rsidR="00000000" w:rsidRPr="00197EAF" w:rsidP="00197EAF">
            <w:pPr>
              <w:pStyle w:val="BodyText"/>
            </w:pPr>
            <w:r w:rsidRPr="00197EAF">
              <w:t>The application of the skills and knowledge described in this unit may require a licence/registration to practice in the workplace.</w:t>
            </w:r>
          </w:p>
          <w:p w:rsidR="00000000" w:rsidRPr="00197EAF" w:rsidP="00197EAF">
            <w:pPr>
              <w:pStyle w:val="BodyText"/>
            </w:pPr>
            <w:r w:rsidRPr="00197EAF">
              <w:t xml:space="preserve">Other conditions may apply under state and territory legislative and </w:t>
            </w:r>
            <w:r w:rsidRPr="00197EAF">
              <w:t>regulatory licensing requirements which must be confirmed prior to commencing this unit.</w:t>
            </w:r>
          </w:p>
        </w:tc>
      </w:tr>
    </w:tbl>
    <w:p w:rsidR="00000000" w:rsidRPr="00197EAF" w:rsidP="00197EAF">
      <w:pPr>
        <w:pStyle w:val="NoPaddingFontSize1"/>
      </w:pPr>
    </w:p>
    <w:p w:rsidR="00000000" w:rsidRPr="00197EAF" w:rsidP="00197EAF">
      <w:pPr>
        <w:pStyle w:val="AllowPageBreak"/>
      </w:pPr>
    </w:p>
    <w:p w:rsidR="00000000" w:rsidRPr="00197EAF" w:rsidP="00197EAF">
      <w:pPr>
        <w:pStyle w:val="Heading1"/>
      </w:pPr>
      <w:bookmarkStart w:id="3" w:name="O_1003252"/>
      <w:bookmarkEnd w:id="3"/>
      <w:r w:rsidRPr="00197EAF">
        <w:t>Pre-requisite Unit</w:t>
      </w:r>
    </w:p>
    <w:tbl>
      <w:tblPr>
        <w:tblW w:w="9497" w:type="dxa"/>
        <w:tblLayout w:type="fixed"/>
        <w:tblCellMar>
          <w:left w:w="62" w:type="dxa"/>
          <w:right w:w="62" w:type="dxa"/>
        </w:tblCellMar>
        <w:tblLook w:val="0000"/>
      </w:tblPr>
      <w:tblGrid>
        <w:gridCol w:w="9497"/>
      </w:tblGrid>
      <w:tr w:rsidTr="00197EA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97EAF" w:rsidP="00197EAF">
            <w:pPr>
              <w:pStyle w:val="BodyText"/>
            </w:pPr>
            <w:r w:rsidRPr="00197EAF">
              <w:t xml:space="preserve">All competencies in the Common Unit Group must have been completed, plus all competencies in one (1) of the identified Pathway </w:t>
            </w:r>
            <w:r w:rsidRPr="00197EAF">
              <w:t xml:space="preserve">Unit Group(s). </w:t>
            </w:r>
          </w:p>
          <w:p w:rsidR="00000000" w:rsidRPr="00197EAF" w:rsidP="00197EAF">
            <w:pPr>
              <w:pStyle w:val="BodyText"/>
            </w:pPr>
            <w:r w:rsidRPr="00197EAF">
              <w:t>Common Unit Group</w:t>
            </w:r>
          </w:p>
          <w:p w:rsidR="00000000" w:rsidRPr="00197EAF" w:rsidP="00197EAF">
            <w:pPr>
              <w:pStyle w:val="BodyText"/>
            </w:pPr>
            <w:r w:rsidRPr="00197EAF">
              <w:t>UEENEEE101A Apply Occupational Health and Safety regulations, codes and practices in the workplace</w:t>
            </w:r>
          </w:p>
          <w:p w:rsidR="00000000" w:rsidRPr="00197EAF" w:rsidP="00197EAF">
            <w:pPr>
              <w:pStyle w:val="BodyText"/>
            </w:pPr>
            <w:r w:rsidRPr="00197EAF">
              <w:t>UEENEEE102A Fabricate, assemble and dismantle utilities industry components</w:t>
            </w:r>
          </w:p>
          <w:p w:rsidR="00000000" w:rsidRPr="00197EAF" w:rsidP="00197EAF">
            <w:pPr>
              <w:pStyle w:val="BodyText"/>
            </w:pPr>
            <w:r w:rsidRPr="00197EAF">
              <w:t>UEENEEE104A Solve problems in d.c. circuits</w:t>
            </w:r>
          </w:p>
          <w:p w:rsidR="00000000" w:rsidRPr="00197EAF" w:rsidP="00197EAF">
            <w:pPr>
              <w:pStyle w:val="BodyText"/>
            </w:pPr>
            <w:r w:rsidRPr="00197EAF">
              <w:t>UEE</w:t>
            </w:r>
            <w:r w:rsidRPr="00197EAF">
              <w:t>NEEE105A Fix and secure electrotechnology equipment</w:t>
            </w:r>
          </w:p>
          <w:p w:rsidR="00000000" w:rsidRPr="00197EAF" w:rsidP="00197EAF">
            <w:pPr>
              <w:pStyle w:val="BodyText"/>
            </w:pPr>
            <w:r w:rsidRPr="00197EAF">
              <w:t>UEENEEE107A Use drawings, diagrams, schedules, standards, codes and specifications</w:t>
            </w:r>
          </w:p>
          <w:p w:rsidR="00000000" w:rsidRPr="00197EAF" w:rsidP="00197EAF">
            <w:pPr>
              <w:pStyle w:val="BodyText"/>
            </w:pPr>
            <w:r w:rsidRPr="00197EAF">
              <w:t>UEENEEG101A Solve problems in electromagnetic devices and related circuits</w:t>
            </w:r>
          </w:p>
          <w:p w:rsidR="00000000" w:rsidRPr="00197EAF" w:rsidP="00197EAF">
            <w:pPr>
              <w:pStyle w:val="BodyText"/>
            </w:pPr>
            <w:r w:rsidRPr="00197EAF">
              <w:t>UEENEEG102A Solve problems in low voltage a.c. circuits</w:t>
            </w:r>
          </w:p>
          <w:p w:rsidR="00000000" w:rsidRPr="00197EAF" w:rsidP="00197EAF">
            <w:pPr>
              <w:pStyle w:val="BodyText"/>
            </w:pPr>
            <w:r w:rsidRPr="00197EAF">
              <w:t>UETTDREL16 Working safely near live electrical apparatus</w:t>
            </w:r>
          </w:p>
          <w:p w:rsidR="00000000" w:rsidRPr="00197EAF" w:rsidP="00197EAF">
            <w:pPr>
              <w:pStyle w:val="BodyText"/>
            </w:pPr>
            <w:r w:rsidRPr="00197EAF">
              <w:t>Transmission Overhead Pathway Group</w:t>
            </w:r>
          </w:p>
          <w:p w:rsidR="00000000" w:rsidRPr="00197EAF" w:rsidP="00197EAF">
            <w:pPr>
              <w:pStyle w:val="BodyText"/>
            </w:pPr>
            <w:r w:rsidRPr="00197EAF">
              <w:t>UETTDREL11 Apply sustainable energy and environmental procedures</w:t>
            </w:r>
          </w:p>
          <w:p w:rsidR="00000000" w:rsidRPr="00197EAF" w:rsidP="00197EAF">
            <w:pPr>
              <w:pStyle w:val="BodyText"/>
            </w:pPr>
            <w:r w:rsidRPr="00197EAF">
              <w:t>UETTDREL12 Operate plant and equipment nea</w:t>
            </w:r>
            <w:r w:rsidRPr="00197EAF">
              <w:t>r live electrical conductors and apparatus</w:t>
            </w:r>
          </w:p>
          <w:p w:rsidR="00000000" w:rsidRPr="00197EAF" w:rsidP="00197EAF">
            <w:pPr>
              <w:pStyle w:val="BodyText"/>
            </w:pPr>
            <w:r w:rsidRPr="00197EAF">
              <w:t>UETTDRIS54 Install and maintain poles, structures and overhead conductors and cables</w:t>
            </w:r>
          </w:p>
          <w:p w:rsidR="00000000" w:rsidRPr="00197EAF" w:rsidP="00197EAF">
            <w:pPr>
              <w:pStyle w:val="BodyText"/>
            </w:pPr>
            <w:r w:rsidRPr="00197EAF">
              <w:t>UETTDRTP26 Install transmission structures and associated hardware</w:t>
            </w:r>
          </w:p>
          <w:p w:rsidR="00000000" w:rsidRPr="00197EAF" w:rsidP="00197EAF">
            <w:pPr>
              <w:pStyle w:val="BodyText"/>
            </w:pPr>
            <w:r w:rsidRPr="00197EAF">
              <w:t>UETTDRTP27 Maintain transmission structures and associated ha</w:t>
            </w:r>
            <w:r w:rsidRPr="00197EAF">
              <w:t>rdware</w:t>
            </w:r>
          </w:p>
          <w:p w:rsidR="00000000" w:rsidRPr="00197EAF" w:rsidP="00197EAF">
            <w:pPr>
              <w:pStyle w:val="BodyText"/>
            </w:pPr>
            <w:r w:rsidRPr="00197EAF">
              <w:t>UETTDRTP29 Install and maintain transmission overhead conductors and cables</w:t>
            </w:r>
          </w:p>
          <w:p w:rsidR="00000000" w:rsidRPr="00197EAF" w:rsidP="00197EAF">
            <w:pPr>
              <w:pStyle w:val="BodyText"/>
            </w:pPr>
            <w:r w:rsidRPr="00197EAF">
              <w:t>Distribution Overhead Pathway Group</w:t>
            </w:r>
          </w:p>
          <w:p w:rsidR="00000000" w:rsidRPr="00197EAF" w:rsidP="00197EAF">
            <w:pPr>
              <w:pStyle w:val="BodyText"/>
            </w:pPr>
            <w:r w:rsidRPr="00197EAF">
              <w:t>UETTDREL11 Apply sustainable energy and environmental procedures</w:t>
            </w:r>
          </w:p>
          <w:p w:rsidR="00000000" w:rsidRPr="00197EAF" w:rsidP="00197EAF">
            <w:pPr>
              <w:pStyle w:val="BodyText"/>
            </w:pPr>
            <w:r w:rsidRPr="00197EAF">
              <w:t>UETTDRDP12 Maintain overhead energised low voltage conductors and cables</w:t>
            </w:r>
          </w:p>
          <w:p w:rsidR="00000000" w:rsidRPr="00197EAF" w:rsidP="00197EAF">
            <w:pPr>
              <w:pStyle w:val="BodyText"/>
            </w:pPr>
            <w:r w:rsidRPr="00197EAF">
              <w:t>UETTDREL12 Operate plant and equipment near live electrical conductors and apparatus</w:t>
            </w:r>
          </w:p>
          <w:p w:rsidR="00000000" w:rsidRPr="00197EAF" w:rsidP="00197EAF">
            <w:pPr>
              <w:pStyle w:val="BodyText"/>
            </w:pPr>
            <w:r w:rsidRPr="00197EAF">
              <w:t>UETTDRIS41 Install network infrastructure electrical equipment</w:t>
            </w:r>
          </w:p>
          <w:p w:rsidR="00000000" w:rsidRPr="00197EAF" w:rsidP="00197EAF">
            <w:pPr>
              <w:pStyle w:val="BodyText"/>
            </w:pPr>
            <w:r w:rsidRPr="00197EAF">
              <w:t>UETTDRIS42 Maintain network infrastructure electrical equipment</w:t>
            </w:r>
          </w:p>
          <w:p w:rsidR="00000000" w:rsidRPr="00197EAF" w:rsidP="00197EAF">
            <w:pPr>
              <w:pStyle w:val="BodyText"/>
            </w:pPr>
            <w:r w:rsidRPr="00197EAF">
              <w:t>UETTDRIS52 Install and maintain poles, stru</w:t>
            </w:r>
            <w:r w:rsidRPr="00197EAF">
              <w:t>ctures and associated hardware</w:t>
            </w:r>
          </w:p>
          <w:p w:rsidR="00000000" w:rsidRPr="00197EAF" w:rsidP="00197EAF">
            <w:pPr>
              <w:pStyle w:val="BodyText"/>
            </w:pPr>
            <w:r w:rsidRPr="00197EAF">
              <w:t>UETTDRIS54 Install and maintain poles, structures and overhead conductors and cables</w:t>
            </w:r>
          </w:p>
          <w:p w:rsidR="00000000" w:rsidRPr="00197EAF" w:rsidP="00197EAF">
            <w:pPr>
              <w:pStyle w:val="BodyText"/>
            </w:pPr>
            <w:r w:rsidRPr="00197EAF">
              <w:t>UETTDRIS56 Install and maintain low voltage overhead services</w:t>
            </w:r>
          </w:p>
          <w:p w:rsidR="00000000" w:rsidRPr="00197EAF" w:rsidP="00197EAF">
            <w:pPr>
              <w:pStyle w:val="BodyText"/>
            </w:pPr>
            <w:r w:rsidRPr="00197EAF">
              <w:t>Rail Traction Pathway Group</w:t>
            </w:r>
          </w:p>
          <w:p w:rsidR="00000000" w:rsidRPr="00197EAF" w:rsidP="00197EAF">
            <w:pPr>
              <w:pStyle w:val="BodyText"/>
            </w:pPr>
            <w:r w:rsidRPr="00197EAF">
              <w:t>UETTDREL11 Apply sustainable energy and environmen</w:t>
            </w:r>
            <w:r w:rsidRPr="00197EAF">
              <w:t>tal procedures</w:t>
            </w:r>
          </w:p>
          <w:p w:rsidR="00000000" w:rsidRPr="00197EAF" w:rsidP="00197EAF">
            <w:pPr>
              <w:pStyle w:val="BodyText"/>
            </w:pPr>
            <w:r w:rsidRPr="00197EAF">
              <w:t>UETTDREL12 Operate plant and equipment near live electrical conductors and apparatus</w:t>
            </w:r>
          </w:p>
          <w:p w:rsidR="00000000" w:rsidRPr="00197EAF" w:rsidP="00197EAF">
            <w:pPr>
              <w:pStyle w:val="BodyText"/>
            </w:pPr>
            <w:r w:rsidRPr="00197EAF">
              <w:t>UETTDRIS52 Install and maintain poles, structures and associated hardware</w:t>
            </w:r>
          </w:p>
          <w:p w:rsidR="00000000" w:rsidRPr="00197EAF" w:rsidP="00197EAF">
            <w:pPr>
              <w:pStyle w:val="BodyText"/>
            </w:pPr>
            <w:r w:rsidRPr="00197EAF">
              <w:t>UETTDRIS54 Install and maintain poles, structures and overhead conductors and cabl</w:t>
            </w:r>
            <w:r w:rsidRPr="00197EAF">
              <w:t>es</w:t>
            </w:r>
          </w:p>
          <w:p w:rsidR="00000000" w:rsidRPr="00197EAF" w:rsidP="00197EAF">
            <w:pPr>
              <w:pStyle w:val="BodyText"/>
            </w:pPr>
            <w:r w:rsidRPr="00197EAF">
              <w:t>UETTDRRT21 Install traction overhead wiring systems</w:t>
            </w:r>
          </w:p>
          <w:p w:rsidR="00000000" w:rsidRPr="00197EAF" w:rsidP="00197EAF">
            <w:pPr>
              <w:pStyle w:val="BodyText"/>
            </w:pPr>
            <w:r w:rsidRPr="00197EAF">
              <w:t>UETTDRRT22 Maintain traction overhead wiring systems</w:t>
            </w:r>
          </w:p>
          <w:p w:rsidR="00000000" w:rsidRPr="00197EAF" w:rsidP="00197EAF">
            <w:pPr>
              <w:pStyle w:val="BodyText"/>
            </w:pPr>
            <w:r w:rsidRPr="00197EAF">
              <w:t>UETTDRRT23 Install rail traction bonds</w:t>
            </w:r>
          </w:p>
          <w:p w:rsidR="00000000" w:rsidRPr="00197EAF" w:rsidP="00197EAF">
            <w:pPr>
              <w:pStyle w:val="BodyText"/>
            </w:pPr>
            <w:r w:rsidRPr="00197EAF">
              <w:t>UETTDRRT27 Install overhead traction components and equipment</w:t>
            </w:r>
          </w:p>
          <w:p w:rsidR="00000000" w:rsidRPr="00197EAF" w:rsidP="00197EAF">
            <w:pPr>
              <w:pStyle w:val="BodyText"/>
            </w:pPr>
            <w:r w:rsidRPr="00197EAF">
              <w:t>UETTDRRT28 Maintain overhead traction components and equipment</w:t>
            </w:r>
          </w:p>
          <w:p w:rsidR="00000000" w:rsidRPr="00197EAF" w:rsidP="00197EAF">
            <w:pPr>
              <w:pStyle w:val="BodyText"/>
            </w:pPr>
            <w:r w:rsidRPr="00197EAF">
              <w:t>Distribution Cable Jointing Pathway Group</w:t>
            </w:r>
          </w:p>
          <w:p w:rsidR="00000000" w:rsidRPr="00197EAF" w:rsidP="00197EAF">
            <w:pPr>
              <w:pStyle w:val="BodyText"/>
            </w:pPr>
            <w:r w:rsidRPr="00197EAF">
              <w:t>UETTDRCJ21 Lay ESI electrical cables</w:t>
            </w:r>
          </w:p>
          <w:p w:rsidR="00000000" w:rsidRPr="00197EAF" w:rsidP="00197EAF">
            <w:pPr>
              <w:pStyle w:val="BodyText"/>
            </w:pPr>
            <w:r w:rsidRPr="00197EAF">
              <w:t>UETTDRCJ26 Install and maintain de-energised low voltage underground polymeric cables</w:t>
            </w:r>
          </w:p>
          <w:p w:rsidR="00000000" w:rsidRPr="00197EAF" w:rsidP="00197EAF">
            <w:pPr>
              <w:pStyle w:val="BodyText"/>
            </w:pPr>
            <w:r w:rsidRPr="00197EAF">
              <w:t>UETTDRCJ27 Install and maint</w:t>
            </w:r>
            <w:r w:rsidRPr="00197EAF">
              <w:t>ain de-energised high voltage underground polymeric cables</w:t>
            </w:r>
          </w:p>
          <w:p w:rsidR="00000000" w:rsidRPr="00197EAF" w:rsidP="00197EAF">
            <w:pPr>
              <w:pStyle w:val="BodyText"/>
            </w:pPr>
            <w:r w:rsidRPr="00197EAF">
              <w:t>UETTDREL11 Apply sustainable energy and environmental procedures</w:t>
            </w:r>
          </w:p>
          <w:p w:rsidR="00000000" w:rsidRPr="00197EAF" w:rsidP="00197EAF">
            <w:pPr>
              <w:pStyle w:val="BodyText"/>
            </w:pPr>
            <w:r w:rsidRPr="00197EAF">
              <w:t>UETTDREL12 Operate plant and equipment near live electrical conductors and apparatus</w:t>
            </w:r>
          </w:p>
          <w:p w:rsidR="00000000" w:rsidRPr="00197EAF" w:rsidP="00197EAF">
            <w:pPr>
              <w:pStyle w:val="BodyText"/>
            </w:pPr>
            <w:r w:rsidRPr="00197EAF">
              <w:t>UETTDRIS41 Install network infrastructure elect</w:t>
            </w:r>
            <w:r w:rsidRPr="00197EAF">
              <w:t>rical equipment</w:t>
            </w:r>
          </w:p>
          <w:p w:rsidR="00000000" w:rsidRPr="00197EAF" w:rsidP="00197EAF">
            <w:pPr>
              <w:pStyle w:val="BodyText"/>
            </w:pPr>
            <w:r w:rsidRPr="00197EAF">
              <w:t>UETTDRIS42 Maintain network infrastructure electrical equipment</w:t>
            </w:r>
          </w:p>
          <w:p w:rsidR="00000000" w:rsidRPr="00197EAF" w:rsidP="00197EAF">
            <w:pPr>
              <w:pStyle w:val="BodyText"/>
            </w:pPr>
            <w:r w:rsidRPr="00197EAF">
              <w:t>UETTDRIS55 Install and maintain low voltage underground services</w:t>
            </w:r>
          </w:p>
          <w:p w:rsidR="00000000" w:rsidRPr="00197EAF" w:rsidP="00197EAF">
            <w:pPr>
              <w:pStyle w:val="BodyText"/>
            </w:pPr>
            <w:r w:rsidRPr="00197EAF">
              <w:t>Electrical Pathway Group</w:t>
            </w:r>
          </w:p>
          <w:p w:rsidR="00000000" w:rsidRPr="00197EAF" w:rsidP="00197EAF">
            <w:pPr>
              <w:pStyle w:val="BodyText"/>
            </w:pPr>
            <w:r w:rsidRPr="00197EAF">
              <w:t xml:space="preserve">UEENEEE137A Document and apply measures to control OHS risks associated with </w:t>
            </w:r>
            <w:r w:rsidRPr="00197EAF">
              <w:t>electrote</w:t>
            </w:r>
            <w:r w:rsidRPr="00197EAF">
              <w:t>chnology work</w:t>
            </w:r>
          </w:p>
          <w:p w:rsidR="00000000" w:rsidRPr="00197EAF" w:rsidP="00197EAF">
            <w:pPr>
              <w:pStyle w:val="BodyText"/>
            </w:pPr>
            <w:r w:rsidRPr="00197EAF">
              <w:t>UEENEEG006A Solve problems in single and three phase low voltage machines</w:t>
            </w:r>
          </w:p>
          <w:p w:rsidR="00000000" w:rsidRPr="00197EAF" w:rsidP="00197EAF">
            <w:pPr>
              <w:pStyle w:val="BodyText"/>
            </w:pPr>
            <w:r w:rsidRPr="00197EAF">
              <w:t>UEENEEG033A Solve problems in single and three phase low voltage electrical apparatus and circuits</w:t>
            </w:r>
          </w:p>
          <w:p w:rsidR="00000000" w:rsidRPr="00197EAF" w:rsidP="00197EAF">
            <w:pPr>
              <w:pStyle w:val="BodyText"/>
            </w:pPr>
            <w:r w:rsidRPr="00197EAF">
              <w:t>UEENEEG063A Arrange circuits, control and protection for general elec</w:t>
            </w:r>
            <w:r w:rsidRPr="00197EAF">
              <w:t>trical installations</w:t>
            </w:r>
          </w:p>
          <w:p w:rsidR="00000000" w:rsidRPr="00197EAF" w:rsidP="00197EAF">
            <w:pPr>
              <w:pStyle w:val="BodyText"/>
            </w:pPr>
            <w:r w:rsidRPr="00197EAF">
              <w:t>UEENEEG106A Terminate cables, cords and accessories for low voltage circuits</w:t>
            </w:r>
          </w:p>
          <w:p w:rsidR="00000000" w:rsidRPr="00197EAF" w:rsidP="00197EAF">
            <w:pPr>
              <w:pStyle w:val="BodyText"/>
            </w:pPr>
            <w:r w:rsidRPr="00197EAF">
              <w:t>UEENEEG108A Trouble-shoot and repair faults in low voltage electrical apparatus and circuits</w:t>
            </w:r>
          </w:p>
          <w:p w:rsidR="00000000" w:rsidRPr="00197EAF" w:rsidP="00197EAF">
            <w:pPr>
              <w:pStyle w:val="BodyText"/>
            </w:pPr>
            <w:r w:rsidRPr="00197EAF">
              <w:t>UEENEEG109A Develop and connect electrical control circuits</w:t>
            </w:r>
          </w:p>
          <w:p w:rsidR="00000000" w:rsidRPr="00197EAF" w:rsidP="00197EAF">
            <w:pPr>
              <w:pStyle w:val="BodyText"/>
            </w:pPr>
            <w:r w:rsidRPr="00197EAF">
              <w:t>UEENE</w:t>
            </w:r>
            <w:r w:rsidRPr="00197EAF">
              <w:t>EK142A Apply environmentally and sustainable procedures in the energy sector</w:t>
            </w:r>
          </w:p>
          <w:p w:rsidR="00000000" w:rsidRPr="00197EAF" w:rsidP="00197EAF">
            <w:pPr>
              <w:pStyle w:val="BodyText"/>
            </w:pPr>
            <w:r w:rsidRPr="00197EAF">
              <w:t>UETTDRIS67 Solve problems in energy supply network equipment</w:t>
            </w:r>
          </w:p>
        </w:tc>
      </w:tr>
    </w:tbl>
    <w:p w:rsidR="00000000" w:rsidRPr="00197EAF" w:rsidP="00197EAF">
      <w:pPr>
        <w:pStyle w:val="NoPaddingFontSize1"/>
      </w:pPr>
    </w:p>
    <w:p w:rsidR="00000000" w:rsidRPr="00197EAF" w:rsidP="00197EAF">
      <w:pPr>
        <w:pStyle w:val="AllowPageBreak"/>
      </w:pPr>
    </w:p>
    <w:p w:rsidR="00000000" w:rsidRPr="00197EAF" w:rsidP="00197EAF">
      <w:pPr>
        <w:pStyle w:val="Heading1"/>
      </w:pPr>
      <w:bookmarkStart w:id="4" w:name="O_1003253"/>
      <w:bookmarkEnd w:id="4"/>
      <w:r w:rsidRPr="00197EAF">
        <w:t>Competency Field</w:t>
      </w:r>
    </w:p>
    <w:tbl>
      <w:tblPr>
        <w:tblW w:w="9497" w:type="dxa"/>
        <w:tblLayout w:type="fixed"/>
        <w:tblCellMar>
          <w:left w:w="62" w:type="dxa"/>
          <w:right w:w="62" w:type="dxa"/>
        </w:tblCellMar>
        <w:tblLook w:val="0000"/>
      </w:tblPr>
      <w:tblGrid>
        <w:gridCol w:w="9497"/>
      </w:tblGrid>
      <w:tr w:rsidTr="00197EA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97EAF" w:rsidP="00197EAF">
            <w:pPr>
              <w:pStyle w:val="BodyText"/>
            </w:pPr>
            <w:r w:rsidRPr="00197EAF">
              <w:t>Industry Specific Cross Discipline</w:t>
            </w:r>
          </w:p>
        </w:tc>
      </w:tr>
    </w:tbl>
    <w:p w:rsidR="00000000" w:rsidRPr="00197EAF" w:rsidP="00197EAF">
      <w:pPr>
        <w:pStyle w:val="NoPaddingFontSize1"/>
      </w:pPr>
    </w:p>
    <w:p w:rsidR="00000000" w:rsidRPr="00197EAF" w:rsidP="00197EAF">
      <w:pPr>
        <w:pStyle w:val="AllowPageBreak"/>
      </w:pPr>
    </w:p>
    <w:p w:rsidR="00000000" w:rsidRPr="00197EAF" w:rsidP="00197EAF">
      <w:pPr>
        <w:pStyle w:val="Heading1"/>
      </w:pPr>
      <w:bookmarkStart w:id="5" w:name="O_1003254"/>
      <w:bookmarkEnd w:id="5"/>
      <w:r w:rsidRPr="00197EAF">
        <w:t>Unit Sector</w:t>
      </w:r>
    </w:p>
    <w:tbl>
      <w:tblPr>
        <w:tblW w:w="9497" w:type="dxa"/>
        <w:tblLayout w:type="fixed"/>
        <w:tblCellMar>
          <w:left w:w="62" w:type="dxa"/>
          <w:right w:w="62" w:type="dxa"/>
        </w:tblCellMar>
        <w:tblLook w:val="0000"/>
      </w:tblPr>
      <w:tblGrid>
        <w:gridCol w:w="9497"/>
      </w:tblGrid>
      <w:tr w:rsidTr="00197EA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97EAF" w:rsidP="00197EAF">
            <w:pPr>
              <w:pStyle w:val="BodyText"/>
            </w:pPr>
            <w:r w:rsidRPr="00197EAF">
              <w:t>Not applicable.</w:t>
            </w:r>
          </w:p>
        </w:tc>
      </w:tr>
    </w:tbl>
    <w:p w:rsidR="00000000" w:rsidRPr="00197EAF" w:rsidP="00197EAF">
      <w:pPr>
        <w:pStyle w:val="NoPaddingFontSize1"/>
      </w:pPr>
    </w:p>
    <w:p w:rsidR="00000000" w:rsidRPr="00197EAF" w:rsidP="00197EAF">
      <w:pPr>
        <w:pStyle w:val="AllowPageBreak"/>
      </w:pPr>
    </w:p>
    <w:p w:rsidR="00000000" w:rsidRPr="00197EAF" w:rsidP="00197EAF">
      <w:pPr>
        <w:pStyle w:val="Heading1"/>
      </w:pPr>
      <w:bookmarkStart w:id="6" w:name="O_1003255"/>
      <w:bookmarkEnd w:id="6"/>
      <w:r w:rsidRPr="00197EAF">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197EAF">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197EAF" w:rsidP="00197EAF">
            <w:pPr>
              <w:pStyle w:val="BodyText"/>
            </w:pPr>
            <w:r w:rsidRPr="00197EAF">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197EAF">
            <w:pPr>
              <w:pStyle w:val="BodyText"/>
              <w:rPr>
                <w:lang w:val="en-NZ"/>
              </w:rPr>
            </w:pPr>
            <w:r w:rsidRPr="00197EAF">
              <w:rPr>
                <w:rStyle w:val="SpecialBold"/>
              </w:rPr>
              <w:t>PERFORMANCE CRITERIA</w:t>
            </w:r>
          </w:p>
        </w:tc>
      </w:tr>
      <w:tr w:rsidTr="00197EAF">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197EAF">
            <w:pPr>
              <w:pStyle w:val="BodyText"/>
              <w:rPr>
                <w:lang w:val="en-NZ"/>
              </w:rPr>
            </w:pPr>
            <w:r w:rsidRPr="00197EAF">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197EAF">
            <w:pPr>
              <w:pStyle w:val="BodyText"/>
              <w:rPr>
                <w:lang w:val="en-NZ"/>
              </w:rPr>
            </w:pPr>
            <w:r w:rsidRPr="00197EAF">
              <w:t>Performance criteria describe the performance needed to demonstrate achievement of the element.</w:t>
            </w:r>
          </w:p>
        </w:tc>
      </w:tr>
      <w:tr w:rsidTr="00197EA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197EAF" w:rsidP="00197EAF">
            <w:pPr>
              <w:pStyle w:val="BodyText"/>
            </w:pPr>
            <w:r w:rsidRPr="00197EAF">
              <w:rPr>
                <w:rStyle w:val="SpecialBold"/>
              </w:rPr>
              <w:t xml:space="preserve">1 </w:t>
            </w:r>
          </w:p>
        </w:tc>
        <w:tc>
          <w:tcPr>
            <w:tcW w:w="2870" w:type="dxa"/>
            <w:tcBorders>
              <w:top w:val="nil"/>
              <w:left w:val="nil"/>
              <w:bottom w:val="nil"/>
              <w:right w:val="nil"/>
            </w:tcBorders>
            <w:tcMar>
              <w:top w:w="0" w:type="dxa"/>
              <w:left w:w="62" w:type="dxa"/>
              <w:bottom w:w="0" w:type="dxa"/>
              <w:right w:w="62" w:type="dxa"/>
            </w:tcMar>
          </w:tcPr>
          <w:p w:rsidR="00000000" w:rsidRPr="00197EAF" w:rsidP="00197EAF">
            <w:pPr>
              <w:pStyle w:val="BodyText"/>
            </w:pPr>
            <w:r w:rsidRPr="00197EAF">
              <w:rPr>
                <w:rStyle w:val="SpecialBold"/>
              </w:rPr>
              <w:t>Pre</w:t>
            </w:r>
            <w:r w:rsidRPr="00197EAF">
              <w:rPr>
                <w:rStyle w:val="SpecialBold"/>
              </w:rPr>
              <w:t>pare to undertake HV switching procedures to a given schedule</w:t>
            </w:r>
          </w:p>
        </w:tc>
        <w:tc>
          <w:tcPr>
            <w:tcW w:w="697" w:type="dxa"/>
            <w:tcBorders>
              <w:top w:val="nil"/>
              <w:left w:val="nil"/>
              <w:bottom w:val="nil"/>
              <w:right w:val="nil"/>
            </w:tcBorders>
            <w:tcMar>
              <w:top w:w="0" w:type="dxa"/>
              <w:left w:w="62" w:type="dxa"/>
              <w:bottom w:w="0" w:type="dxa"/>
              <w:right w:w="62" w:type="dxa"/>
            </w:tcMar>
          </w:tcPr>
          <w:p w:rsidR="00000000" w:rsidP="00197EAF">
            <w:pPr>
              <w:pStyle w:val="BodyText"/>
              <w:rPr>
                <w:lang w:val="en-NZ"/>
              </w:rPr>
            </w:pPr>
            <w:r w:rsidRPr="00197EAF">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197EAF">
            <w:pPr>
              <w:pStyle w:val="BodyText"/>
              <w:rPr>
                <w:lang w:val="en-NZ"/>
              </w:rPr>
            </w:pPr>
            <w:r w:rsidRPr="00197EAF">
              <w:t>Switching and work schedules, plans, drawings, workplace procedures and material lists are received and confirmed</w:t>
            </w:r>
          </w:p>
        </w:tc>
      </w:tr>
      <w:tr w:rsidTr="00197EA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97EA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97EAF">
            <w:pPr>
              <w:pStyle w:val="BodyText"/>
              <w:rPr>
                <w:lang w:val="en-NZ"/>
              </w:rPr>
            </w:pPr>
            <w:r w:rsidRPr="00197EAF">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197EAF">
            <w:pPr>
              <w:pStyle w:val="BodyText"/>
              <w:rPr>
                <w:lang w:val="en-NZ"/>
              </w:rPr>
            </w:pPr>
            <w:r w:rsidRPr="00197EAF">
              <w:t>Job requirements and workplace procedures are identified and communic</w:t>
            </w:r>
            <w:r w:rsidRPr="00197EAF">
              <w:t>ated with relevant personnel</w:t>
            </w:r>
          </w:p>
        </w:tc>
      </w:tr>
      <w:tr w:rsidTr="00197EA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97EA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97EAF">
            <w:pPr>
              <w:pStyle w:val="BodyText"/>
              <w:rPr>
                <w:lang w:val="en-NZ"/>
              </w:rPr>
            </w:pPr>
            <w:r w:rsidRPr="00197EAF">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197EAF">
            <w:pPr>
              <w:pStyle w:val="BodyText"/>
              <w:rPr>
                <w:lang w:val="en-NZ"/>
              </w:rPr>
            </w:pPr>
            <w:r w:rsidRPr="00197EAF">
              <w:t>Work health and safety (WHS)/occupational health and safety (OHS), environmental and workplace procedures for HV switching are obtained and confirmed for the purposes of the work to be performed</w:t>
            </w:r>
          </w:p>
        </w:tc>
      </w:tr>
      <w:tr w:rsidTr="00197EA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97EA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97EAF">
            <w:pPr>
              <w:pStyle w:val="BodyText"/>
              <w:rPr>
                <w:lang w:val="en-NZ"/>
              </w:rPr>
            </w:pPr>
            <w:r w:rsidRPr="00197EAF">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197EAF">
            <w:pPr>
              <w:pStyle w:val="BodyText"/>
              <w:rPr>
                <w:lang w:val="en-NZ"/>
              </w:rPr>
            </w:pPr>
            <w:r w:rsidRPr="00197EAF">
              <w:t>Work is prioritised and sequenced for completion within acceptable timeframes following consultation with relevant personnel and in accordance with workplace procedures</w:t>
            </w:r>
          </w:p>
        </w:tc>
      </w:tr>
      <w:tr w:rsidTr="00197EA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97EA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97EAF">
            <w:pPr>
              <w:pStyle w:val="BodyText"/>
              <w:rPr>
                <w:lang w:val="en-NZ"/>
              </w:rPr>
            </w:pPr>
            <w:r w:rsidRPr="00197EAF">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197EAF">
            <w:pPr>
              <w:pStyle w:val="BodyText"/>
              <w:rPr>
                <w:lang w:val="en-NZ"/>
              </w:rPr>
            </w:pPr>
            <w:r w:rsidRPr="00197EAF">
              <w:t>Hazards are identified, WHS/OHS risks assessed and control measures identified i</w:t>
            </w:r>
            <w:r w:rsidRPr="00197EAF">
              <w:t>n accordance with workplace procedures</w:t>
            </w:r>
          </w:p>
        </w:tc>
      </w:tr>
      <w:tr w:rsidTr="00197EA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97EA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97EAF">
            <w:pPr>
              <w:pStyle w:val="BodyText"/>
              <w:rPr>
                <w:lang w:val="en-NZ"/>
              </w:rPr>
            </w:pPr>
            <w:r w:rsidRPr="00197EAF">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197EAF">
            <w:pPr>
              <w:pStyle w:val="BodyText"/>
              <w:rPr>
                <w:lang w:val="en-NZ"/>
              </w:rPr>
            </w:pPr>
            <w:r w:rsidRPr="00197EAF">
              <w:t>Relevant authority is obtained to perform work in accordance with workplace procedures</w:t>
            </w:r>
          </w:p>
        </w:tc>
      </w:tr>
      <w:tr w:rsidTr="00197EA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97EA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97EAF">
            <w:pPr>
              <w:pStyle w:val="BodyText"/>
              <w:rPr>
                <w:lang w:val="en-NZ"/>
              </w:rPr>
            </w:pPr>
            <w:r w:rsidRPr="00197EAF">
              <w:rPr>
                <w:rStyle w:val="SpecialBold"/>
              </w:rPr>
              <w:t>1.7</w:t>
            </w:r>
          </w:p>
        </w:tc>
        <w:tc>
          <w:tcPr>
            <w:tcW w:w="5592" w:type="dxa"/>
            <w:tcBorders>
              <w:top w:val="nil"/>
              <w:left w:val="nil"/>
              <w:bottom w:val="nil"/>
              <w:right w:val="nil"/>
            </w:tcBorders>
            <w:tcMar>
              <w:top w:w="0" w:type="dxa"/>
              <w:left w:w="62" w:type="dxa"/>
              <w:bottom w:w="0" w:type="dxa"/>
              <w:right w:w="62" w:type="dxa"/>
            </w:tcMar>
          </w:tcPr>
          <w:p w:rsidR="00000000" w:rsidP="00197EAF">
            <w:pPr>
              <w:pStyle w:val="BodyText"/>
              <w:rPr>
                <w:lang w:val="en-NZ"/>
              </w:rPr>
            </w:pPr>
            <w:r w:rsidRPr="00197EAF">
              <w:t>Plant, equipment, tools and personal protective equipment (PPE) required for work are identified, obtained and confirmed in working order</w:t>
            </w:r>
          </w:p>
        </w:tc>
      </w:tr>
      <w:tr w:rsidTr="00197EA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97EA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97EAF">
            <w:pPr>
              <w:pStyle w:val="BodyText"/>
              <w:rPr>
                <w:lang w:val="en-NZ"/>
              </w:rPr>
            </w:pPr>
            <w:r w:rsidRPr="00197EAF">
              <w:rPr>
                <w:rStyle w:val="SpecialBold"/>
              </w:rPr>
              <w:t>1.8</w:t>
            </w:r>
          </w:p>
        </w:tc>
        <w:tc>
          <w:tcPr>
            <w:tcW w:w="5592" w:type="dxa"/>
            <w:tcBorders>
              <w:top w:val="nil"/>
              <w:left w:val="nil"/>
              <w:bottom w:val="nil"/>
              <w:right w:val="nil"/>
            </w:tcBorders>
            <w:tcMar>
              <w:top w:w="0" w:type="dxa"/>
              <w:left w:w="62" w:type="dxa"/>
              <w:bottom w:w="0" w:type="dxa"/>
              <w:right w:w="62" w:type="dxa"/>
            </w:tcMar>
          </w:tcPr>
          <w:p w:rsidR="00000000" w:rsidP="00197EAF">
            <w:pPr>
              <w:pStyle w:val="BodyText"/>
              <w:rPr>
                <w:lang w:val="en-NZ"/>
              </w:rPr>
            </w:pPr>
            <w:r w:rsidRPr="00197EAF">
              <w:t>Worksite is prepared to minimise risk, damage to property, commerce and individuals in accordance with workplac</w:t>
            </w:r>
            <w:r w:rsidRPr="00197EAF">
              <w:t>e procedures</w:t>
            </w:r>
          </w:p>
        </w:tc>
      </w:tr>
      <w:tr w:rsidTr="00197EA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97EA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97EAF">
            <w:pPr>
              <w:pStyle w:val="BodyText"/>
              <w:rPr>
                <w:lang w:val="en-NZ"/>
              </w:rPr>
            </w:pPr>
            <w:r w:rsidRPr="00197EAF">
              <w:rPr>
                <w:rStyle w:val="SpecialBold"/>
              </w:rPr>
              <w:t>1.9</w:t>
            </w:r>
          </w:p>
        </w:tc>
        <w:tc>
          <w:tcPr>
            <w:tcW w:w="5592" w:type="dxa"/>
            <w:tcBorders>
              <w:top w:val="nil"/>
              <w:left w:val="nil"/>
              <w:bottom w:val="nil"/>
              <w:right w:val="nil"/>
            </w:tcBorders>
            <w:tcMar>
              <w:top w:w="0" w:type="dxa"/>
              <w:left w:w="62" w:type="dxa"/>
              <w:bottom w:w="0" w:type="dxa"/>
              <w:right w:w="62" w:type="dxa"/>
            </w:tcMar>
          </w:tcPr>
          <w:p w:rsidR="00000000" w:rsidP="00197EAF">
            <w:pPr>
              <w:pStyle w:val="BodyText"/>
              <w:rPr>
                <w:lang w:val="en-NZ"/>
              </w:rPr>
            </w:pPr>
            <w:r w:rsidRPr="00197EAF">
              <w:t>Traffic management plan is confirmed as being applied in accordance with workplace procedures</w:t>
            </w:r>
          </w:p>
        </w:tc>
      </w:tr>
      <w:tr w:rsidTr="00197EA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197EAF" w:rsidP="00197EAF">
            <w:pPr>
              <w:pStyle w:val="BodyText"/>
            </w:pPr>
            <w:r w:rsidRPr="00197EAF">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197EAF" w:rsidP="00197EAF">
            <w:pPr>
              <w:pStyle w:val="BodyText"/>
            </w:pPr>
            <w:r w:rsidRPr="00197EAF">
              <w:rPr>
                <w:rStyle w:val="SpecialBold"/>
              </w:rPr>
              <w:t>Carry out HV switching procedures to a given schedule</w:t>
            </w:r>
          </w:p>
        </w:tc>
        <w:tc>
          <w:tcPr>
            <w:tcW w:w="697" w:type="dxa"/>
            <w:tcBorders>
              <w:top w:val="nil"/>
              <w:left w:val="nil"/>
              <w:bottom w:val="nil"/>
              <w:right w:val="nil"/>
            </w:tcBorders>
            <w:tcMar>
              <w:top w:w="0" w:type="dxa"/>
              <w:left w:w="62" w:type="dxa"/>
              <w:bottom w:w="0" w:type="dxa"/>
              <w:right w:w="62" w:type="dxa"/>
            </w:tcMar>
          </w:tcPr>
          <w:p w:rsidR="00000000" w:rsidP="00197EAF">
            <w:pPr>
              <w:pStyle w:val="BodyText"/>
              <w:rPr>
                <w:lang w:val="en-NZ"/>
              </w:rPr>
            </w:pPr>
            <w:r w:rsidRPr="00197EAF">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197EAF">
            <w:pPr>
              <w:pStyle w:val="BodyText"/>
              <w:rPr>
                <w:lang w:val="en-NZ"/>
              </w:rPr>
            </w:pPr>
            <w:r w:rsidRPr="00197EAF">
              <w:t>WHS/OHS, sustainable energy and environmental principles and practices are monito</w:t>
            </w:r>
            <w:r w:rsidRPr="00197EAF">
              <w:t>red and followed to reduce incidents in accordance with workplace procedures</w:t>
            </w:r>
          </w:p>
        </w:tc>
      </w:tr>
      <w:tr w:rsidTr="00197EA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97EA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97EAF">
            <w:pPr>
              <w:pStyle w:val="BodyText"/>
              <w:rPr>
                <w:lang w:val="en-NZ"/>
              </w:rPr>
            </w:pPr>
            <w:r w:rsidRPr="00197EAF">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197EAF">
            <w:pPr>
              <w:pStyle w:val="BodyText"/>
              <w:rPr>
                <w:lang w:val="en-NZ"/>
              </w:rPr>
            </w:pPr>
            <w:r w:rsidRPr="00197EAF">
              <w:t>Requirements for lifting and/or climbing and/or working at heights and the use of power tools/equipment are followed in accordance with workplace procedures</w:t>
            </w:r>
          </w:p>
        </w:tc>
      </w:tr>
      <w:tr w:rsidTr="00197EA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97EA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97EAF">
            <w:pPr>
              <w:pStyle w:val="BodyText"/>
              <w:rPr>
                <w:lang w:val="en-NZ"/>
              </w:rPr>
            </w:pPr>
            <w:r w:rsidRPr="00197EAF">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197EAF">
            <w:pPr>
              <w:pStyle w:val="BodyText"/>
              <w:rPr>
                <w:lang w:val="en-NZ"/>
              </w:rPr>
            </w:pPr>
            <w:r w:rsidRPr="00197EAF">
              <w:t>HV swi</w:t>
            </w:r>
            <w:r w:rsidRPr="00197EAF">
              <w:t>tching procedures to a given schedule are applied to ensure completion in agreed timeframes, to quality standards and with a minimum of waste in accordance with workplace procedures</w:t>
            </w:r>
          </w:p>
        </w:tc>
      </w:tr>
      <w:tr w:rsidTr="00197EA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97EA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97EAF">
            <w:pPr>
              <w:pStyle w:val="BodyText"/>
              <w:rPr>
                <w:lang w:val="en-NZ"/>
              </w:rPr>
            </w:pPr>
            <w:r w:rsidRPr="00197EAF">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197EAF">
            <w:pPr>
              <w:pStyle w:val="BodyText"/>
              <w:rPr>
                <w:lang w:val="en-NZ"/>
              </w:rPr>
            </w:pPr>
            <w:r w:rsidRPr="00197EAF">
              <w:t>Communications with switching control officer are established and m</w:t>
            </w:r>
            <w:r w:rsidRPr="00197EAF">
              <w:t>aintained throughout the isolation operation in accordance with workplace procedures</w:t>
            </w:r>
          </w:p>
        </w:tc>
      </w:tr>
      <w:tr w:rsidTr="00197EA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97EA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97EAF">
            <w:pPr>
              <w:pStyle w:val="BodyText"/>
              <w:rPr>
                <w:lang w:val="en-NZ"/>
              </w:rPr>
            </w:pPr>
            <w:r w:rsidRPr="00197EAF">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197EAF">
            <w:pPr>
              <w:pStyle w:val="BodyText"/>
              <w:rPr>
                <w:lang w:val="en-NZ"/>
              </w:rPr>
            </w:pPr>
            <w:r w:rsidRPr="00197EAF">
              <w:t>Electrical equipment, associated circuits, line/network or worksite to be switched, including paralleling, is isolated and proved de-energised using appropriate dev</w:t>
            </w:r>
            <w:r w:rsidRPr="00197EAF">
              <w:t>ices and earthed, where required, in accordance with workplace procedures</w:t>
            </w:r>
          </w:p>
        </w:tc>
      </w:tr>
      <w:tr w:rsidTr="00197EA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97EA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97EAF">
            <w:pPr>
              <w:pStyle w:val="BodyText"/>
              <w:rPr>
                <w:lang w:val="en-NZ"/>
              </w:rPr>
            </w:pPr>
            <w:r w:rsidRPr="00197EAF">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197EAF">
            <w:pPr>
              <w:pStyle w:val="BodyText"/>
              <w:rPr>
                <w:lang w:val="en-NZ"/>
              </w:rPr>
            </w:pPr>
            <w:r w:rsidRPr="00197EAF">
              <w:t>Unplanned events are responded to in accordance with workplace procedures</w:t>
            </w:r>
          </w:p>
        </w:tc>
      </w:tr>
      <w:tr w:rsidTr="00197EA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97EA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97EAF">
            <w:pPr>
              <w:pStyle w:val="BodyText"/>
              <w:rPr>
                <w:lang w:val="en-NZ"/>
              </w:rPr>
            </w:pPr>
            <w:r w:rsidRPr="00197EAF">
              <w:rPr>
                <w:rStyle w:val="SpecialBold"/>
              </w:rPr>
              <w:t>2.7</w:t>
            </w:r>
          </w:p>
        </w:tc>
        <w:tc>
          <w:tcPr>
            <w:tcW w:w="5592" w:type="dxa"/>
            <w:tcBorders>
              <w:top w:val="nil"/>
              <w:left w:val="nil"/>
              <w:bottom w:val="nil"/>
              <w:right w:val="nil"/>
            </w:tcBorders>
            <w:tcMar>
              <w:top w:w="0" w:type="dxa"/>
              <w:left w:w="62" w:type="dxa"/>
              <w:bottom w:w="0" w:type="dxa"/>
              <w:right w:w="62" w:type="dxa"/>
            </w:tcMar>
          </w:tcPr>
          <w:p w:rsidR="00000000" w:rsidP="00197EAF">
            <w:pPr>
              <w:pStyle w:val="BodyText"/>
              <w:rPr>
                <w:lang w:val="en-NZ"/>
              </w:rPr>
            </w:pPr>
            <w:r w:rsidRPr="00197EAF">
              <w:t>Relevant permits are prepared and issued in accordance with workplace procedures</w:t>
            </w:r>
          </w:p>
        </w:tc>
      </w:tr>
      <w:tr w:rsidTr="00197EA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97EA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97EAF">
            <w:pPr>
              <w:pStyle w:val="BodyText"/>
              <w:rPr>
                <w:lang w:val="en-NZ"/>
              </w:rPr>
            </w:pPr>
            <w:r w:rsidRPr="00197EAF">
              <w:rPr>
                <w:rStyle w:val="SpecialBold"/>
              </w:rPr>
              <w:t>2.8</w:t>
            </w:r>
          </w:p>
        </w:tc>
        <w:tc>
          <w:tcPr>
            <w:tcW w:w="5592" w:type="dxa"/>
            <w:tcBorders>
              <w:top w:val="nil"/>
              <w:left w:val="nil"/>
              <w:bottom w:val="nil"/>
              <w:right w:val="nil"/>
            </w:tcBorders>
            <w:tcMar>
              <w:top w:w="0" w:type="dxa"/>
              <w:left w:w="62" w:type="dxa"/>
              <w:bottom w:w="0" w:type="dxa"/>
              <w:right w:w="62" w:type="dxa"/>
            </w:tcMar>
          </w:tcPr>
          <w:p w:rsidR="00000000" w:rsidP="00197EAF">
            <w:pPr>
              <w:pStyle w:val="BodyText"/>
              <w:rPr>
                <w:lang w:val="en-NZ"/>
              </w:rPr>
            </w:pPr>
            <w:r w:rsidRPr="00197EAF">
              <w:t>Quality checks of work are undertaken in accordance with workplace procedures</w:t>
            </w:r>
          </w:p>
        </w:tc>
      </w:tr>
      <w:tr w:rsidTr="00197EA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197EAF" w:rsidP="00197EAF">
            <w:pPr>
              <w:pStyle w:val="BodyText"/>
            </w:pPr>
            <w:r w:rsidRPr="00197EAF">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197EAF" w:rsidP="00197EAF">
            <w:pPr>
              <w:pStyle w:val="BodyText"/>
            </w:pPr>
            <w:r w:rsidRPr="00197EAF">
              <w:rPr>
                <w:rStyle w:val="SpecialBold"/>
              </w:rPr>
              <w:t>Complete HV switching procedures to a given schedule</w:t>
            </w:r>
          </w:p>
        </w:tc>
        <w:tc>
          <w:tcPr>
            <w:tcW w:w="697" w:type="dxa"/>
            <w:tcBorders>
              <w:top w:val="nil"/>
              <w:left w:val="nil"/>
              <w:bottom w:val="nil"/>
              <w:right w:val="nil"/>
            </w:tcBorders>
            <w:tcMar>
              <w:top w:w="0" w:type="dxa"/>
              <w:left w:w="62" w:type="dxa"/>
              <w:bottom w:w="0" w:type="dxa"/>
              <w:right w:w="62" w:type="dxa"/>
            </w:tcMar>
          </w:tcPr>
          <w:p w:rsidR="00000000" w:rsidP="00197EAF">
            <w:pPr>
              <w:pStyle w:val="BodyText"/>
              <w:rPr>
                <w:lang w:val="en-NZ"/>
              </w:rPr>
            </w:pPr>
            <w:r w:rsidRPr="00197EAF">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197EAF">
            <w:pPr>
              <w:pStyle w:val="BodyText"/>
              <w:rPr>
                <w:lang w:val="en-NZ"/>
              </w:rPr>
            </w:pPr>
            <w:r w:rsidRPr="00197EAF">
              <w:t>Completed switching is checked against work schedule and anomalies are reported in accordance with workplace procedure</w:t>
            </w:r>
            <w:r w:rsidRPr="00197EAF">
              <w:t>s</w:t>
            </w:r>
          </w:p>
        </w:tc>
      </w:tr>
      <w:tr w:rsidTr="00197EA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97EA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97EAF">
            <w:pPr>
              <w:pStyle w:val="BodyText"/>
              <w:rPr>
                <w:lang w:val="en-NZ"/>
              </w:rPr>
            </w:pPr>
            <w:r w:rsidRPr="00197EAF">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197EAF">
            <w:pPr>
              <w:pStyle w:val="BodyText"/>
              <w:rPr>
                <w:lang w:val="en-NZ"/>
              </w:rPr>
            </w:pPr>
            <w:r w:rsidRPr="00197EAF">
              <w:t>WHS/OHS and environmental incidents are reported in accordance with workplace procedures, as required</w:t>
            </w:r>
          </w:p>
        </w:tc>
      </w:tr>
      <w:tr w:rsidTr="00197EA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97EA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97EAF">
            <w:pPr>
              <w:pStyle w:val="BodyText"/>
              <w:rPr>
                <w:lang w:val="en-NZ"/>
              </w:rPr>
            </w:pPr>
            <w:r w:rsidRPr="00197EAF">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197EAF">
            <w:pPr>
              <w:pStyle w:val="BodyText"/>
              <w:rPr>
                <w:lang w:val="en-NZ"/>
              </w:rPr>
            </w:pPr>
            <w:r w:rsidRPr="00197EAF">
              <w:t>Worksite is rehabilitated, cleaned and made safe in accordance with workplace procedures</w:t>
            </w:r>
          </w:p>
        </w:tc>
      </w:tr>
      <w:tr w:rsidTr="00197EA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97EA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97EAF">
            <w:pPr>
              <w:pStyle w:val="BodyText"/>
              <w:rPr>
                <w:lang w:val="en-NZ"/>
              </w:rPr>
            </w:pPr>
            <w:r w:rsidRPr="00197EAF">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P="00197EAF">
            <w:pPr>
              <w:pStyle w:val="BodyText"/>
              <w:rPr>
                <w:lang w:val="en-NZ"/>
              </w:rPr>
            </w:pPr>
            <w:r w:rsidRPr="00197EAF">
              <w:t>Plant, equipment and tools are cleaned, checked and returned to service in accordance with workplace procedures</w:t>
            </w:r>
          </w:p>
        </w:tc>
      </w:tr>
      <w:tr w:rsidTr="00197EA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97EA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97EAF">
            <w:pPr>
              <w:pStyle w:val="BodyText"/>
              <w:rPr>
                <w:lang w:val="en-NZ"/>
              </w:rPr>
            </w:pPr>
            <w:r w:rsidRPr="00197EAF">
              <w:rPr>
                <w:rStyle w:val="SpecialBold"/>
              </w:rPr>
              <w:t>3.5</w:t>
            </w:r>
          </w:p>
        </w:tc>
        <w:tc>
          <w:tcPr>
            <w:tcW w:w="5592" w:type="dxa"/>
            <w:tcBorders>
              <w:top w:val="nil"/>
              <w:left w:val="nil"/>
              <w:bottom w:val="nil"/>
              <w:right w:val="nil"/>
            </w:tcBorders>
            <w:tcMar>
              <w:top w:w="0" w:type="dxa"/>
              <w:left w:w="62" w:type="dxa"/>
              <w:bottom w:w="0" w:type="dxa"/>
              <w:right w:w="62" w:type="dxa"/>
            </w:tcMar>
          </w:tcPr>
          <w:p w:rsidR="00000000" w:rsidP="00197EAF">
            <w:pPr>
              <w:pStyle w:val="BodyText"/>
              <w:rPr>
                <w:lang w:val="en-NZ"/>
              </w:rPr>
            </w:pPr>
            <w:r w:rsidRPr="00197EAF">
              <w:t>Relevant work permits are signed off, safety devices removed and system re-energised and returned to service in accordance with workplace</w:t>
            </w:r>
            <w:r w:rsidRPr="00197EAF">
              <w:t xml:space="preserve"> procedures</w:t>
            </w:r>
          </w:p>
        </w:tc>
      </w:tr>
      <w:tr w:rsidTr="00197EA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97EA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97EAF">
            <w:pPr>
              <w:pStyle w:val="BodyText"/>
              <w:rPr>
                <w:lang w:val="en-NZ"/>
              </w:rPr>
            </w:pPr>
            <w:r w:rsidRPr="00197EAF">
              <w:rPr>
                <w:rStyle w:val="SpecialBold"/>
              </w:rPr>
              <w:t>3.6</w:t>
            </w:r>
          </w:p>
        </w:tc>
        <w:tc>
          <w:tcPr>
            <w:tcW w:w="5592" w:type="dxa"/>
            <w:tcBorders>
              <w:top w:val="nil"/>
              <w:left w:val="nil"/>
              <w:bottom w:val="nil"/>
              <w:right w:val="nil"/>
            </w:tcBorders>
            <w:tcMar>
              <w:top w:w="0" w:type="dxa"/>
              <w:left w:w="62" w:type="dxa"/>
              <w:bottom w:w="0" w:type="dxa"/>
              <w:right w:w="62" w:type="dxa"/>
            </w:tcMar>
          </w:tcPr>
          <w:p w:rsidR="00000000" w:rsidRPr="00197EAF" w:rsidP="00197EAF">
            <w:pPr>
              <w:pStyle w:val="BodyText"/>
            </w:pPr>
            <w:r w:rsidRPr="00197EAF">
              <w:t>Work records, reports and/or documentation are completed in accordance with workplace procedures</w:t>
            </w:r>
          </w:p>
        </w:tc>
      </w:tr>
    </w:tbl>
    <w:p w:rsidR="00000000" w:rsidRPr="00197EAF" w:rsidP="00197EAF">
      <w:pPr>
        <w:pStyle w:val="NoPaddingFontSize1"/>
      </w:pPr>
    </w:p>
    <w:p w:rsidR="00000000" w:rsidRPr="00197EAF" w:rsidP="00197EAF">
      <w:pPr>
        <w:pStyle w:val="AllowPageBreak"/>
      </w:pPr>
    </w:p>
    <w:p w:rsidR="00000000" w:rsidRPr="00197EAF" w:rsidP="00197EAF">
      <w:pPr>
        <w:pStyle w:val="Heading1"/>
      </w:pPr>
      <w:bookmarkStart w:id="7" w:name="O_1003256"/>
      <w:bookmarkEnd w:id="7"/>
      <w:r w:rsidRPr="00197EAF">
        <w:t>Foundation Skills</w:t>
      </w:r>
    </w:p>
    <w:tbl>
      <w:tblPr>
        <w:tblW w:w="9497" w:type="dxa"/>
        <w:tblLayout w:type="fixed"/>
        <w:tblCellMar>
          <w:left w:w="62" w:type="dxa"/>
          <w:right w:w="62" w:type="dxa"/>
        </w:tblCellMar>
        <w:tblLook w:val="0000"/>
      </w:tblPr>
      <w:tblGrid>
        <w:gridCol w:w="9497"/>
      </w:tblGrid>
      <w:tr w:rsidTr="00197EA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97EAF" w:rsidP="00197EAF">
            <w:pPr>
              <w:pStyle w:val="BodyText"/>
            </w:pPr>
            <w:r w:rsidRPr="00197EAF">
              <w:t>Foundation skills essential to performance are explicit in the performance criteria of this unit of c</w:t>
            </w:r>
            <w:r w:rsidRPr="00197EAF">
              <w:t>ompetency.</w:t>
            </w:r>
          </w:p>
        </w:tc>
      </w:tr>
    </w:tbl>
    <w:p w:rsidR="00000000" w:rsidRPr="00197EAF" w:rsidP="00197EAF">
      <w:pPr>
        <w:pStyle w:val="NoPaddingFontSize1"/>
      </w:pPr>
    </w:p>
    <w:p w:rsidR="00000000" w:rsidRPr="00197EAF" w:rsidP="00197EAF">
      <w:pPr>
        <w:pStyle w:val="AllowPageBreak"/>
      </w:pPr>
    </w:p>
    <w:p w:rsidR="00000000" w:rsidRPr="00197EAF" w:rsidP="00197EAF">
      <w:pPr>
        <w:pStyle w:val="Heading1"/>
      </w:pPr>
      <w:bookmarkStart w:id="8" w:name="O_1003257"/>
      <w:bookmarkEnd w:id="8"/>
      <w:r w:rsidRPr="00197EAF">
        <w:t>Range of Conditions</w:t>
      </w:r>
    </w:p>
    <w:tbl>
      <w:tblPr>
        <w:tblW w:w="9497" w:type="dxa"/>
        <w:tblLayout w:type="fixed"/>
        <w:tblCellMar>
          <w:left w:w="62" w:type="dxa"/>
          <w:right w:w="62" w:type="dxa"/>
        </w:tblCellMar>
        <w:tblLook w:val="0000"/>
      </w:tblPr>
      <w:tblGrid>
        <w:gridCol w:w="9497"/>
      </w:tblGrid>
      <w:tr w:rsidTr="00197EA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97EAF" w:rsidP="00197EAF">
            <w:pPr>
              <w:pStyle w:val="BodyText"/>
            </w:pPr>
            <w:r w:rsidRPr="00197EAF">
              <w:t>Range is restricted to essential operating conditions and any other variables essential to the work environment.</w:t>
            </w:r>
          </w:p>
          <w:p w:rsidR="00000000" w:rsidRPr="00197EAF" w:rsidP="00197EAF">
            <w:pPr>
              <w:pStyle w:val="BodyText"/>
            </w:pPr>
            <w:r w:rsidRPr="00197EAF">
              <w:t>Non-essential conditions may be found in the Companion Volume Implementation Guide.</w:t>
            </w:r>
          </w:p>
        </w:tc>
      </w:tr>
    </w:tbl>
    <w:p w:rsidR="00000000" w:rsidRPr="00197EAF" w:rsidP="00197EAF">
      <w:pPr>
        <w:pStyle w:val="NoPaddingFontSize1"/>
      </w:pPr>
    </w:p>
    <w:p w:rsidR="00000000" w:rsidRPr="00197EAF" w:rsidP="00197EAF">
      <w:pPr>
        <w:pStyle w:val="AllowPageBreak"/>
      </w:pPr>
    </w:p>
    <w:p w:rsidR="00000000" w:rsidRPr="00197EAF" w:rsidP="00197EAF">
      <w:pPr>
        <w:pStyle w:val="Heading1"/>
      </w:pPr>
      <w:bookmarkStart w:id="9" w:name="O_1003258"/>
      <w:bookmarkEnd w:id="9"/>
      <w:r w:rsidRPr="00197EAF">
        <w:t>Unit Mapping Information</w:t>
      </w:r>
    </w:p>
    <w:tbl>
      <w:tblPr>
        <w:tblW w:w="9497" w:type="dxa"/>
        <w:tblLayout w:type="fixed"/>
        <w:tblCellMar>
          <w:left w:w="62" w:type="dxa"/>
          <w:right w:w="62" w:type="dxa"/>
        </w:tblCellMar>
        <w:tblLook w:val="0000"/>
      </w:tblPr>
      <w:tblGrid>
        <w:gridCol w:w="9497"/>
      </w:tblGrid>
      <w:tr w:rsidTr="00197EA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97EAF" w:rsidP="00197EAF">
            <w:pPr>
              <w:pStyle w:val="BodyText"/>
            </w:pPr>
            <w:r w:rsidRPr="00197EAF">
              <w:t>This unit replaces and is equivalent to UETTDRIS44A Perform HV field switching operation to a given schedule.</w:t>
            </w:r>
          </w:p>
        </w:tc>
      </w:tr>
    </w:tbl>
    <w:p w:rsidR="00000000" w:rsidRPr="00197EAF" w:rsidP="00197EAF">
      <w:pPr>
        <w:pStyle w:val="NoPaddingFontSize1"/>
      </w:pPr>
    </w:p>
    <w:p w:rsidR="00000000" w:rsidRPr="00197EAF" w:rsidP="00197EAF">
      <w:pPr>
        <w:pStyle w:val="AllowPageBreak"/>
      </w:pPr>
    </w:p>
    <w:p w:rsidR="00000000" w:rsidRPr="00197EAF" w:rsidP="00197EAF">
      <w:pPr>
        <w:pStyle w:val="Heading1"/>
      </w:pPr>
      <w:bookmarkStart w:id="10" w:name="O_1003265"/>
      <w:bookmarkEnd w:id="10"/>
      <w:r w:rsidRPr="00197EAF">
        <w:t>Links</w:t>
      </w:r>
    </w:p>
    <w:p w:rsidR="00000000" w:rsidRPr="00197EAF" w:rsidP="000D3B88">
      <w:pPr>
        <w:pStyle w:val="BodyText"/>
      </w:pPr>
      <w:r w:rsidRPr="00197EAF">
        <w:t>UET Training Package Companion Volume Implementation Guide is found in VETNe</w:t>
      </w:r>
      <w:r w:rsidRPr="00197EAF">
        <w:t xml:space="preserve">t - </w:t>
      </w:r>
      <w:r>
        <w:fldChar w:fldCharType="begin"/>
      </w:r>
      <w:r>
        <w:instrText xml:space="preserve"> HYPERLINK "https://vetnet.gov.au/Pages/TrainingDocs.aspx?q=229bace1-b7bc-4653-9300-dffb13ecfad7" </w:instrText>
      </w:r>
      <w:r>
        <w:fldChar w:fldCharType="separate"/>
      </w:r>
      <w:r w:rsidRPr="00A50164">
        <w:rPr>
          <w:rStyle w:val="Hyperlink"/>
        </w:rPr>
        <w:t>https://vetnet.gov.au/Pages/TrainingDocs.aspx?q=229bace1-b7bc-4653-9300-dffb13ecfad7</w:t>
      </w:r>
      <w:r>
        <w:fldChar w:fldCharType="end"/>
      </w:r>
    </w:p>
    <w:p w:rsidR="00000000" w:rsidRPr="00197EAF" w:rsidP="000D3B88">
      <w:pPr>
        <w:pStyle w:val="BodyText"/>
        <w:sectPr w:rsidSect="00197EAF">
          <w:headerReference w:type="default" r:id="rId10"/>
          <w:footerReference w:type="default" r:id="rId11"/>
          <w:pgSz w:w="11908" w:h="16833"/>
          <w:pgMar w:top="1702" w:right="1418" w:bottom="1702" w:left="1418" w:header="992" w:footer="992" w:gutter="0"/>
          <w:cols w:space="720"/>
          <w:noEndnote/>
          <w:docGrid w:linePitch="299"/>
        </w:sectPr>
      </w:pPr>
    </w:p>
    <w:p w:rsidR="00000000" w:rsidRPr="00197EAF" w:rsidP="00197EAF">
      <w:pPr>
        <w:pStyle w:val="SuperHeading"/>
      </w:pPr>
      <w:r w:rsidRPr="00197EAF">
        <w:t>Assessment Requirements for UETTDRIS44 Perform HV field switching operation to a given schedule</w:t>
      </w:r>
    </w:p>
    <w:p w:rsidR="00000000" w:rsidRPr="00197EAF" w:rsidP="00197EAF">
      <w:pPr>
        <w:pStyle w:val="Heading1"/>
      </w:pPr>
      <w:bookmarkStart w:id="11" w:name="O_1003260"/>
      <w:bookmarkEnd w:id="11"/>
      <w:r w:rsidRPr="00197EAF">
        <w:t>Modification History</w:t>
      </w:r>
    </w:p>
    <w:tbl>
      <w:tblPr>
        <w:tblW w:w="9497" w:type="dxa"/>
        <w:tblLayout w:type="fixed"/>
        <w:tblCellMar>
          <w:left w:w="62" w:type="dxa"/>
          <w:right w:w="62" w:type="dxa"/>
        </w:tblCellMar>
        <w:tblLook w:val="0000"/>
      </w:tblPr>
      <w:tblGrid>
        <w:gridCol w:w="9497"/>
      </w:tblGrid>
      <w:tr w:rsidTr="00197EA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97EAF" w:rsidP="00197EAF">
            <w:pPr>
              <w:pStyle w:val="BodyText"/>
            </w:pPr>
            <w:r w:rsidRPr="00197EAF">
              <w:t>Release 1. This is the first release of this unit of competency in the UET Transmission, Distribution and Rail Sector Training Package.</w:t>
            </w:r>
          </w:p>
        </w:tc>
      </w:tr>
    </w:tbl>
    <w:p w:rsidR="00000000" w:rsidRPr="00197EAF" w:rsidP="00197EAF">
      <w:pPr>
        <w:pStyle w:val="NoPaddingFontSize1"/>
      </w:pPr>
    </w:p>
    <w:p w:rsidR="00000000" w:rsidRPr="00197EAF" w:rsidP="00197EAF">
      <w:pPr>
        <w:pStyle w:val="AllowPageBreak"/>
      </w:pPr>
    </w:p>
    <w:p w:rsidR="00000000" w:rsidRPr="00197EAF" w:rsidP="00197EAF">
      <w:pPr>
        <w:pStyle w:val="Heading1"/>
      </w:pPr>
      <w:bookmarkStart w:id="12" w:name="O_1003261"/>
      <w:bookmarkEnd w:id="12"/>
      <w:r w:rsidRPr="00197EAF">
        <w:t>Performance Evidence</w:t>
      </w:r>
    </w:p>
    <w:tbl>
      <w:tblPr>
        <w:tblW w:w="9497" w:type="dxa"/>
        <w:tblLayout w:type="fixed"/>
        <w:tblCellMar>
          <w:left w:w="62" w:type="dxa"/>
          <w:right w:w="62" w:type="dxa"/>
        </w:tblCellMar>
        <w:tblLook w:val="0000"/>
      </w:tblPr>
      <w:tblGrid>
        <w:gridCol w:w="9497"/>
      </w:tblGrid>
      <w:tr w:rsidTr="00197EA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197EAF">
            <w:pPr>
              <w:pStyle w:val="BodyText"/>
              <w:rPr>
                <w:lang w:val="en-NZ"/>
              </w:rPr>
            </w:pPr>
            <w:r w:rsidRPr="00197EAF">
              <w:t xml:space="preserve">Evidence required to demonstrate competence in this unit must be relevant to and satisfy all of the requirements of the elements and performance criteria on at least two separate occasions and include:  </w:t>
            </w:r>
          </w:p>
        </w:tc>
      </w:tr>
      <w:tr w:rsidTr="00197EA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97EAF" w:rsidP="00197EAF">
            <w:pPr>
              <w:pStyle w:val="ListBullet"/>
            </w:pPr>
            <w:r w:rsidRPr="00197EAF">
              <w:t>applying relevant work health and safety (WHS)/occ</w:t>
            </w:r>
            <w:r w:rsidRPr="00197EAF">
              <w:t xml:space="preserve">upational health and safety (OHS) requirements, including the use of risk control measures </w:t>
            </w:r>
          </w:p>
          <w:p w:rsidR="00000000" w:rsidRPr="00197EAF" w:rsidP="00197EAF">
            <w:pPr>
              <w:pStyle w:val="ListBullet"/>
            </w:pPr>
            <w:r w:rsidRPr="00197EAF">
              <w:t>applying sustainable energy principles and practices</w:t>
            </w:r>
          </w:p>
          <w:p w:rsidR="00000000" w:rsidRPr="00197EAF" w:rsidP="00197EAF">
            <w:pPr>
              <w:pStyle w:val="ListBullet"/>
            </w:pPr>
            <w:r w:rsidRPr="00197EAF">
              <w:t>performing high voltage (HV) field switching operation to a given schedule using the following:</w:t>
            </w:r>
          </w:p>
          <w:p w:rsidR="00000000" w:rsidRPr="00197EAF" w:rsidP="00197EAF">
            <w:pPr>
              <w:pStyle w:val="ListBullet2"/>
            </w:pPr>
            <w:r w:rsidRPr="00197EAF">
              <w:t>approvals/clea</w:t>
            </w:r>
            <w:r w:rsidRPr="00197EAF">
              <w:t>rances</w:t>
            </w:r>
          </w:p>
          <w:p w:rsidR="00000000" w:rsidRPr="00197EAF" w:rsidP="00197EAF">
            <w:pPr>
              <w:pStyle w:val="ListBullet2"/>
            </w:pPr>
            <w:r w:rsidRPr="00197EAF">
              <w:t>access permits</w:t>
            </w:r>
          </w:p>
          <w:p w:rsidR="00000000" w:rsidRPr="00197EAF" w:rsidP="00197EAF">
            <w:pPr>
              <w:pStyle w:val="ListBullet"/>
            </w:pPr>
            <w:r w:rsidRPr="00197EAF">
              <w:t>using all of the following:</w:t>
            </w:r>
          </w:p>
          <w:p w:rsidR="00000000" w:rsidRPr="00197EAF" w:rsidP="00197EAF">
            <w:pPr>
              <w:pStyle w:val="ListBullet2"/>
            </w:pPr>
            <w:r w:rsidRPr="00197EAF">
              <w:t>HV operating sticks</w:t>
            </w:r>
          </w:p>
          <w:p w:rsidR="00000000" w:rsidRPr="00197EAF" w:rsidP="00197EAF">
            <w:pPr>
              <w:pStyle w:val="ListBullet2"/>
            </w:pPr>
            <w:r w:rsidRPr="00197EAF">
              <w:t>HV operating earths</w:t>
            </w:r>
          </w:p>
          <w:p w:rsidR="00000000" w:rsidRPr="00197EAF" w:rsidP="00197EAF">
            <w:pPr>
              <w:pStyle w:val="ListBullet2"/>
            </w:pPr>
            <w:r w:rsidRPr="00197EAF">
              <w:t>HV detectors</w:t>
            </w:r>
          </w:p>
          <w:p w:rsidR="00000000" w:rsidRPr="00197EAF" w:rsidP="00197EAF">
            <w:pPr>
              <w:pStyle w:val="ListBullet"/>
            </w:pPr>
            <w:r w:rsidRPr="00197EAF">
              <w:t>using at least one (1) of the following specialist tools:</w:t>
            </w:r>
          </w:p>
          <w:p w:rsidR="00000000" w:rsidRPr="00197EAF" w:rsidP="00197EAF">
            <w:pPr>
              <w:pStyle w:val="ListBullet2"/>
            </w:pPr>
            <w:r w:rsidRPr="00197EAF">
              <w:t>HV phasing sticks</w:t>
            </w:r>
          </w:p>
          <w:p w:rsidR="00000000" w:rsidRPr="00197EAF" w:rsidP="00197EAF">
            <w:pPr>
              <w:pStyle w:val="ListBullet2"/>
            </w:pPr>
            <w:r w:rsidRPr="00197EAF">
              <w:t>HV ground mounted equipment isolating handles and earths</w:t>
            </w:r>
          </w:p>
          <w:p w:rsidR="00000000" w:rsidRPr="00197EAF" w:rsidP="00197EAF">
            <w:pPr>
              <w:pStyle w:val="ListBullet"/>
            </w:pPr>
            <w:r w:rsidRPr="00197EAF">
              <w:t>operating switchgear with at least two (2) of the following:</w:t>
            </w:r>
          </w:p>
          <w:p w:rsidR="00000000" w:rsidRPr="00197EAF" w:rsidP="00197EAF">
            <w:pPr>
              <w:pStyle w:val="ListBullet2"/>
            </w:pPr>
            <w:r w:rsidRPr="00197EAF">
              <w:t>HV links</w:t>
            </w:r>
          </w:p>
          <w:p w:rsidR="00000000" w:rsidRPr="00197EAF" w:rsidP="00197EAF">
            <w:pPr>
              <w:pStyle w:val="ListBullet2"/>
            </w:pPr>
            <w:r w:rsidRPr="00197EAF">
              <w:t>air break switches</w:t>
            </w:r>
          </w:p>
          <w:p w:rsidR="00000000" w:rsidRPr="00197EAF" w:rsidP="00197EAF">
            <w:pPr>
              <w:pStyle w:val="ListBullet2"/>
            </w:pPr>
            <w:r w:rsidRPr="00197EAF">
              <w:t>fuses</w:t>
            </w:r>
          </w:p>
          <w:p w:rsidR="00000000" w:rsidRPr="00197EAF" w:rsidP="00197EAF">
            <w:pPr>
              <w:pStyle w:val="ListBullet"/>
            </w:pPr>
            <w:r w:rsidRPr="00197EAF">
              <w:t>using at least three (3) of the following:</w:t>
            </w:r>
          </w:p>
          <w:p w:rsidR="00000000" w:rsidRPr="00197EAF" w:rsidP="00197EAF">
            <w:pPr>
              <w:pStyle w:val="ListBullet2"/>
            </w:pPr>
            <w:r w:rsidRPr="00197EAF">
              <w:t>reclosers</w:t>
            </w:r>
          </w:p>
          <w:p w:rsidR="00000000" w:rsidRPr="00197EAF" w:rsidP="00197EAF">
            <w:pPr>
              <w:pStyle w:val="ListBullet2"/>
            </w:pPr>
            <w:r w:rsidRPr="00197EAF">
              <w:t>ring main units</w:t>
            </w:r>
          </w:p>
          <w:p w:rsidR="00000000" w:rsidRPr="00197EAF" w:rsidP="00197EAF">
            <w:pPr>
              <w:pStyle w:val="ListBullet2"/>
            </w:pPr>
            <w:r w:rsidRPr="00197EAF">
              <w:t>circuit breakers</w:t>
            </w:r>
          </w:p>
          <w:p w:rsidR="00000000" w:rsidRPr="00197EAF" w:rsidP="00197EAF">
            <w:pPr>
              <w:pStyle w:val="ListBullet2"/>
            </w:pPr>
            <w:r w:rsidRPr="00197EAF">
              <w:t>isolators</w:t>
            </w:r>
          </w:p>
          <w:p w:rsidR="00000000" w:rsidRPr="00197EAF" w:rsidP="00197EAF">
            <w:pPr>
              <w:pStyle w:val="ListBullet2"/>
            </w:pPr>
            <w:r w:rsidRPr="00197EAF">
              <w:t>earth switches</w:t>
            </w:r>
          </w:p>
          <w:p w:rsidR="00000000" w:rsidRPr="00197EAF" w:rsidP="00197EAF">
            <w:pPr>
              <w:pStyle w:val="ListBullet2"/>
            </w:pPr>
            <w:r w:rsidRPr="00197EAF">
              <w:t>sectionalisers</w:t>
            </w:r>
          </w:p>
          <w:p w:rsidR="00000000" w:rsidRPr="00197EAF" w:rsidP="00197EAF">
            <w:pPr>
              <w:pStyle w:val="ListBullet"/>
            </w:pPr>
            <w:r w:rsidRPr="00197EAF">
              <w:t>dealing with unplanned events on at least one (1) occasion.</w:t>
            </w:r>
          </w:p>
        </w:tc>
      </w:tr>
    </w:tbl>
    <w:p w:rsidR="00000000" w:rsidRPr="00197EAF" w:rsidP="00197EAF">
      <w:pPr>
        <w:pStyle w:val="NoPaddingFontSize1"/>
      </w:pPr>
    </w:p>
    <w:p w:rsidR="00000000" w:rsidRPr="00197EAF" w:rsidP="00197EAF">
      <w:pPr>
        <w:pStyle w:val="AllowPageBreak"/>
      </w:pPr>
    </w:p>
    <w:p w:rsidR="00000000" w:rsidRPr="00197EAF" w:rsidP="00197EAF">
      <w:pPr>
        <w:pStyle w:val="Heading1"/>
      </w:pPr>
      <w:bookmarkStart w:id="13" w:name="O_1003262"/>
      <w:bookmarkEnd w:id="13"/>
      <w:r w:rsidRPr="00197EAF">
        <w:t>Knowledge Evidence</w:t>
      </w:r>
    </w:p>
    <w:tbl>
      <w:tblPr>
        <w:tblW w:w="9497" w:type="dxa"/>
        <w:tblLayout w:type="fixed"/>
        <w:tblCellMar>
          <w:left w:w="62" w:type="dxa"/>
          <w:right w:w="62" w:type="dxa"/>
        </w:tblCellMar>
        <w:tblLook w:val="0000"/>
      </w:tblPr>
      <w:tblGrid>
        <w:gridCol w:w="9497"/>
      </w:tblGrid>
      <w:tr w:rsidTr="00197EA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197EAF">
            <w:pPr>
              <w:pStyle w:val="BodyText"/>
              <w:rPr>
                <w:lang w:val="en-NZ"/>
              </w:rPr>
            </w:pPr>
            <w:r w:rsidRPr="00197EAF">
              <w:t>Evidence required to demonstrate competence in this unit must be relevant to and satisfy all of the requirements of the elements and performance criteria and include knowledge of:</w:t>
            </w:r>
          </w:p>
        </w:tc>
      </w:tr>
      <w:tr w:rsidTr="00197EA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97EAF" w:rsidP="00197EAF">
            <w:pPr>
              <w:pStyle w:val="ListBullet"/>
            </w:pPr>
            <w:r w:rsidRPr="00197EAF">
              <w:t>standards, codes, legislation, supply authority regulations and/or enterpr</w:t>
            </w:r>
            <w:r w:rsidRPr="00197EAF">
              <w:t>ise requirements applicable to switching of HV to a given schedule</w:t>
            </w:r>
          </w:p>
          <w:p w:rsidR="00000000" w:rsidRPr="00197EAF" w:rsidP="00197EAF">
            <w:pPr>
              <w:pStyle w:val="ListBullet"/>
            </w:pPr>
            <w:r w:rsidRPr="00197EAF">
              <w:t>requirements for the use of manuals, system diagrams/plans and drawings, including:</w:t>
            </w:r>
          </w:p>
          <w:p w:rsidR="00000000" w:rsidRPr="00197EAF" w:rsidP="00197EAF">
            <w:pPr>
              <w:pStyle w:val="ListBullet2"/>
            </w:pPr>
            <w:r w:rsidRPr="00197EAF">
              <w:t>types, characteristics and capabilities of electrical apparatus</w:t>
            </w:r>
          </w:p>
          <w:p w:rsidR="00000000" w:rsidRPr="00197EAF" w:rsidP="00197EAF">
            <w:pPr>
              <w:pStyle w:val="ListBullet2"/>
            </w:pPr>
            <w:r w:rsidRPr="00197EAF">
              <w:t>use, characteristics and capabilities of specialised tools and testing equipment</w:t>
            </w:r>
          </w:p>
          <w:p w:rsidR="00000000" w:rsidRPr="00197EAF" w:rsidP="00197EAF">
            <w:pPr>
              <w:pStyle w:val="ListBullet2"/>
            </w:pPr>
            <w:r w:rsidRPr="00197EAF">
              <w:t>network interconnectors source of possible backfeed</w:t>
            </w:r>
          </w:p>
          <w:p w:rsidR="00000000" w:rsidRPr="00197EAF" w:rsidP="00197EAF">
            <w:pPr>
              <w:pStyle w:val="ListBullet"/>
            </w:pPr>
            <w:r w:rsidRPr="00197EAF">
              <w:t>role of the HV switching operator</w:t>
            </w:r>
          </w:p>
          <w:p w:rsidR="00000000" w:rsidRPr="00197EAF" w:rsidP="00197EAF">
            <w:pPr>
              <w:pStyle w:val="ListBullet"/>
            </w:pPr>
            <w:r w:rsidRPr="00197EAF">
              <w:t>procedures for obtaining correct HV switching authorisation, including:</w:t>
            </w:r>
          </w:p>
          <w:p w:rsidR="00000000" w:rsidRPr="00197EAF" w:rsidP="00197EAF">
            <w:pPr>
              <w:pStyle w:val="ListBullet2"/>
            </w:pPr>
            <w:r w:rsidRPr="00197EAF">
              <w:t xml:space="preserve">identification </w:t>
            </w:r>
            <w:r w:rsidRPr="00197EAF">
              <w:t>of WHS/OHS hazards, assessing and controlling risks</w:t>
            </w:r>
          </w:p>
          <w:p w:rsidR="00000000" w:rsidRPr="00197EAF" w:rsidP="00197EAF">
            <w:pPr>
              <w:pStyle w:val="ListBullet2"/>
            </w:pPr>
            <w:r w:rsidRPr="00197EAF">
              <w:t>safety procedures and precautions</w:t>
            </w:r>
          </w:p>
          <w:p w:rsidR="00000000" w:rsidRPr="00197EAF" w:rsidP="00197EAF">
            <w:pPr>
              <w:pStyle w:val="ListBullet2"/>
            </w:pPr>
            <w:r w:rsidRPr="00197EAF">
              <w:t>safe approach distances (SAD)</w:t>
            </w:r>
          </w:p>
          <w:p w:rsidR="00000000" w:rsidRPr="00197EAF" w:rsidP="00197EAF">
            <w:pPr>
              <w:pStyle w:val="ListBullet2"/>
            </w:pPr>
            <w:r w:rsidRPr="00197EAF">
              <w:t>responsibilities and protocols</w:t>
            </w:r>
          </w:p>
          <w:p w:rsidR="00000000" w:rsidRPr="00197EAF" w:rsidP="00197EAF">
            <w:pPr>
              <w:pStyle w:val="ListBullet2"/>
            </w:pPr>
            <w:r w:rsidRPr="00197EAF">
              <w:t>identifying switching resources</w:t>
            </w:r>
          </w:p>
          <w:p w:rsidR="00000000" w:rsidRPr="00197EAF" w:rsidP="00197EAF">
            <w:pPr>
              <w:pStyle w:val="ListBullet2"/>
            </w:pPr>
            <w:r w:rsidRPr="00197EAF">
              <w:t>procedures for obtaining electrical access permits/authorities</w:t>
            </w:r>
          </w:p>
          <w:p w:rsidR="00000000" w:rsidRPr="00197EAF" w:rsidP="00197EAF">
            <w:pPr>
              <w:pStyle w:val="ListBullet2"/>
            </w:pPr>
            <w:r w:rsidRPr="00197EAF">
              <w:t>requirements f</w:t>
            </w:r>
            <w:r w:rsidRPr="00197EAF">
              <w:t>or team switching</w:t>
            </w:r>
          </w:p>
          <w:p w:rsidR="00000000" w:rsidRPr="00197EAF" w:rsidP="00197EAF">
            <w:pPr>
              <w:pStyle w:val="ListBullet2"/>
            </w:pPr>
            <w:r w:rsidRPr="00197EAF">
              <w:t>procedures for coordination of operations</w:t>
            </w:r>
          </w:p>
          <w:p w:rsidR="00000000" w:rsidRPr="00197EAF" w:rsidP="00197EAF">
            <w:pPr>
              <w:pStyle w:val="ListBullet"/>
            </w:pPr>
            <w:r w:rsidRPr="00197EAF">
              <w:t>use and operation of equipment associated with HV overhead and substation equipment, including:</w:t>
            </w:r>
          </w:p>
          <w:p w:rsidR="00000000" w:rsidRPr="00197EAF" w:rsidP="00197EAF">
            <w:pPr>
              <w:pStyle w:val="ListBullet2"/>
            </w:pPr>
            <w:r w:rsidRPr="00197EAF">
              <w:t>test instruments</w:t>
            </w:r>
          </w:p>
          <w:p w:rsidR="00000000" w:rsidRPr="00197EAF" w:rsidP="00197EAF">
            <w:pPr>
              <w:pStyle w:val="ListBullet2"/>
            </w:pPr>
            <w:r w:rsidRPr="00197EAF">
              <w:t>sticks</w:t>
            </w:r>
          </w:p>
          <w:p w:rsidR="00000000" w:rsidRPr="00197EAF" w:rsidP="00197EAF">
            <w:pPr>
              <w:pStyle w:val="ListBullet2"/>
            </w:pPr>
            <w:r w:rsidRPr="00197EAF">
              <w:t>interrupters</w:t>
            </w:r>
          </w:p>
          <w:p w:rsidR="00000000" w:rsidRPr="00197EAF" w:rsidP="00197EAF">
            <w:pPr>
              <w:pStyle w:val="ListBullet2"/>
            </w:pPr>
            <w:r w:rsidRPr="00197EAF">
              <w:t>arc stranglers</w:t>
            </w:r>
          </w:p>
          <w:p w:rsidR="00000000" w:rsidRPr="00197EAF" w:rsidP="00197EAF">
            <w:pPr>
              <w:pStyle w:val="ListBullet"/>
            </w:pPr>
            <w:r w:rsidRPr="00197EAF">
              <w:t>operation of protection systems and substation equipment, such as:</w:t>
            </w:r>
          </w:p>
          <w:p w:rsidR="00000000" w:rsidRPr="00197EAF" w:rsidP="00197EAF">
            <w:pPr>
              <w:pStyle w:val="ListBullet2"/>
            </w:pPr>
            <w:r w:rsidRPr="00197EAF">
              <w:t>fault levels and settings; types and applications; protection systems and substation equipment fault levels and settings; types and applications</w:t>
            </w:r>
          </w:p>
          <w:p w:rsidR="00000000" w:rsidRPr="00197EAF" w:rsidP="00197EAF">
            <w:pPr>
              <w:pStyle w:val="ListBullet"/>
            </w:pPr>
            <w:r w:rsidRPr="00197EAF">
              <w:t>types and categories of HV switchgear</w:t>
            </w:r>
          </w:p>
          <w:p w:rsidR="00000000" w:rsidRPr="00197EAF" w:rsidP="00197EAF">
            <w:pPr>
              <w:pStyle w:val="ListBullet"/>
            </w:pPr>
            <w:r w:rsidRPr="00197EAF">
              <w:t>appl</w:t>
            </w:r>
            <w:r w:rsidRPr="00197EAF">
              <w:t>ication, function and operating capabilities of switchgear</w:t>
            </w:r>
          </w:p>
          <w:p w:rsidR="00000000" w:rsidRPr="00197EAF" w:rsidP="00197EAF">
            <w:pPr>
              <w:pStyle w:val="ListBullet"/>
            </w:pPr>
            <w:r w:rsidRPr="00197EAF">
              <w:t>restrictions pertaining to HV switching equipment</w:t>
            </w:r>
          </w:p>
          <w:p w:rsidR="00000000" w:rsidRPr="00197EAF" w:rsidP="00197EAF">
            <w:pPr>
              <w:pStyle w:val="ListBullet"/>
            </w:pPr>
            <w:r w:rsidRPr="00197EAF">
              <w:t>procedures for the isolation of HV transmission main and working earths</w:t>
            </w:r>
          </w:p>
          <w:p w:rsidR="00000000" w:rsidRPr="00197EAF" w:rsidP="00197EAF">
            <w:pPr>
              <w:pStyle w:val="ListBullet"/>
            </w:pPr>
            <w:r w:rsidRPr="00197EAF">
              <w:t>earthing HV electrical apparatus practices and procedures for access, inclu</w:t>
            </w:r>
            <w:r w:rsidRPr="00197EAF">
              <w:t>ding:</w:t>
            </w:r>
          </w:p>
          <w:p w:rsidR="00000000" w:rsidRPr="00197EAF" w:rsidP="00197EAF">
            <w:pPr>
              <w:pStyle w:val="ListBullet2"/>
            </w:pPr>
            <w:r w:rsidRPr="00197EAF">
              <w:t>purposes of operational and additional work part - on-site earths</w:t>
            </w:r>
          </w:p>
          <w:p w:rsidR="00000000" w:rsidRPr="00197EAF" w:rsidP="00197EAF">
            <w:pPr>
              <w:pStyle w:val="ListBullet2"/>
            </w:pPr>
            <w:r w:rsidRPr="00197EAF">
              <w:t>factors determining the location and effectiveness of operational earthing</w:t>
            </w:r>
          </w:p>
          <w:p w:rsidR="00000000" w:rsidRPr="00197EAF" w:rsidP="00197EAF">
            <w:pPr>
              <w:pStyle w:val="ListBullet2"/>
            </w:pPr>
            <w:r w:rsidRPr="00197EAF">
              <w:t>acceptable industry procedures</w:t>
            </w:r>
          </w:p>
          <w:p w:rsidR="00000000" w:rsidRPr="00197EAF" w:rsidP="00197EAF">
            <w:pPr>
              <w:pStyle w:val="ListBullet2"/>
            </w:pPr>
            <w:r w:rsidRPr="00197EAF">
              <w:t>personal protective equipment (PPE)</w:t>
            </w:r>
          </w:p>
          <w:p w:rsidR="00000000" w:rsidRPr="00197EAF" w:rsidP="00197EAF">
            <w:pPr>
              <w:pStyle w:val="ListBullet"/>
            </w:pPr>
            <w:r w:rsidRPr="00197EAF">
              <w:t>HV switching techniques, including</w:t>
            </w:r>
          </w:p>
          <w:p w:rsidR="00000000" w:rsidRPr="00197EAF" w:rsidP="00197EAF">
            <w:pPr>
              <w:pStyle w:val="ListBullet2"/>
            </w:pPr>
            <w:r w:rsidRPr="00197EAF">
              <w:t>pre-switching checks</w:t>
            </w:r>
          </w:p>
          <w:p w:rsidR="00000000" w:rsidRPr="00197EAF" w:rsidP="00197EAF">
            <w:pPr>
              <w:pStyle w:val="ListBullet2"/>
            </w:pPr>
            <w:r w:rsidRPr="00197EAF">
              <w:t>switching operational procedures</w:t>
            </w:r>
          </w:p>
          <w:p w:rsidR="00000000" w:rsidRPr="00197EAF" w:rsidP="00197EAF">
            <w:pPr>
              <w:pStyle w:val="ListBullet2"/>
            </w:pPr>
            <w:r w:rsidRPr="00197EAF">
              <w:t>isolation procedures and proving dead/de-energised</w:t>
            </w:r>
          </w:p>
          <w:p w:rsidR="00000000" w:rsidRPr="00197EAF" w:rsidP="00197EAF">
            <w:pPr>
              <w:pStyle w:val="ListBullet2"/>
            </w:pPr>
            <w:r w:rsidRPr="00197EAF">
              <w:t>earthing procedures</w:t>
            </w:r>
          </w:p>
          <w:p w:rsidR="00000000" w:rsidRPr="00197EAF" w:rsidP="00197EAF">
            <w:pPr>
              <w:pStyle w:val="ListBullet2"/>
            </w:pPr>
            <w:r w:rsidRPr="00197EAF">
              <w:t>emergency fault procedures</w:t>
            </w:r>
          </w:p>
          <w:p w:rsidR="00000000" w:rsidRPr="00197EAF" w:rsidP="00197EAF">
            <w:pPr>
              <w:pStyle w:val="ListBullet2"/>
            </w:pPr>
            <w:r w:rsidRPr="00197EAF">
              <w:t>energisation procedures</w:t>
            </w:r>
          </w:p>
          <w:p w:rsidR="00000000" w:rsidRPr="00197EAF" w:rsidP="00197EAF">
            <w:pPr>
              <w:pStyle w:val="ListBullet"/>
            </w:pPr>
            <w:r w:rsidRPr="00197EAF">
              <w:t>application and function of the single wire earth return (SWER) system componen</w:t>
            </w:r>
            <w:r w:rsidRPr="00197EAF">
              <w:t>ts, including:</w:t>
            </w:r>
          </w:p>
          <w:p w:rsidR="00000000" w:rsidRPr="00197EAF" w:rsidP="00197EAF">
            <w:pPr>
              <w:pStyle w:val="ListBullet2"/>
            </w:pPr>
            <w:r w:rsidRPr="00197EAF">
              <w:t>circuit arrangement</w:t>
            </w:r>
          </w:p>
          <w:p w:rsidR="00000000" w:rsidRPr="00197EAF" w:rsidP="00197EAF">
            <w:pPr>
              <w:pStyle w:val="ListBullet2"/>
            </w:pPr>
            <w:r w:rsidRPr="00197EAF">
              <w:t>principle of operation</w:t>
            </w:r>
          </w:p>
          <w:p w:rsidR="00000000" w:rsidRPr="00197EAF" w:rsidP="00197EAF">
            <w:pPr>
              <w:pStyle w:val="ListBullet2"/>
            </w:pPr>
            <w:r w:rsidRPr="00197EAF">
              <w:t>hazards and procedures associated with faulty SWER earth systems</w:t>
            </w:r>
          </w:p>
          <w:p w:rsidR="00000000" w:rsidRPr="00197EAF" w:rsidP="00197EAF">
            <w:pPr>
              <w:pStyle w:val="ListBullet2"/>
            </w:pPr>
            <w:r w:rsidRPr="00197EAF">
              <w:t>procedure to isolate, energise and commission SWER substations</w:t>
            </w:r>
          </w:p>
          <w:p w:rsidR="00000000" w:rsidRPr="00197EAF" w:rsidP="00197EAF">
            <w:pPr>
              <w:pStyle w:val="ListBullet"/>
            </w:pPr>
            <w:r w:rsidRPr="00197EAF">
              <w:t>operation of HV overhead switching or indicating devices, including:</w:t>
            </w:r>
          </w:p>
          <w:p w:rsidR="00000000" w:rsidRPr="00197EAF" w:rsidP="00197EAF">
            <w:pPr>
              <w:pStyle w:val="ListBullet2"/>
            </w:pPr>
            <w:r w:rsidRPr="00197EAF">
              <w:t>identifying hazards, assessing and controlling risks associated with HV switchgear operation</w:t>
            </w:r>
          </w:p>
          <w:p w:rsidR="00000000" w:rsidRPr="00197EAF" w:rsidP="00197EAF">
            <w:pPr>
              <w:pStyle w:val="ListBullet2"/>
            </w:pPr>
            <w:r w:rsidRPr="00197EAF">
              <w:t>systematic and defensive techniques</w:t>
            </w:r>
          </w:p>
          <w:p w:rsidR="00000000" w:rsidRPr="00197EAF" w:rsidP="00197EAF">
            <w:pPr>
              <w:pStyle w:val="ListBullet2"/>
            </w:pPr>
            <w:r w:rsidRPr="00197EAF">
              <w:t>mobile radio procedures</w:t>
            </w:r>
          </w:p>
          <w:p w:rsidR="00000000" w:rsidRPr="00197EAF" w:rsidP="00197EAF">
            <w:pPr>
              <w:pStyle w:val="ListBullet2"/>
            </w:pPr>
            <w:r w:rsidRPr="00197EAF">
              <w:t>double isolation procedures</w:t>
            </w:r>
          </w:p>
          <w:p w:rsidR="00000000" w:rsidRPr="00197EAF" w:rsidP="00197EAF">
            <w:pPr>
              <w:pStyle w:val="ListBullet2"/>
            </w:pPr>
            <w:r w:rsidRPr="00197EAF">
              <w:t>fuses, disconnect fuses, load switching, live line indicators, capacitors</w:t>
            </w:r>
            <w:r w:rsidRPr="00197EAF">
              <w:t>, reclosers, sectionalisers, underslung links, airbreaks, switches, disconnects, live line clamps, phasing sticks and phasing tester</w:t>
            </w:r>
          </w:p>
          <w:p w:rsidR="00000000" w:rsidRPr="00197EAF" w:rsidP="00197EAF">
            <w:pPr>
              <w:pStyle w:val="ListBullet"/>
            </w:pPr>
            <w:r w:rsidRPr="00197EAF">
              <w:t>primary causes, effects and types of HV electrical faults</w:t>
            </w:r>
          </w:p>
          <w:p w:rsidR="00000000" w:rsidRPr="00197EAF" w:rsidP="00197EAF">
            <w:pPr>
              <w:pStyle w:val="ListBullet"/>
            </w:pPr>
            <w:r w:rsidRPr="00197EAF">
              <w:t>HV protection devices, including:</w:t>
            </w:r>
          </w:p>
          <w:p w:rsidR="00000000" w:rsidRPr="00197EAF" w:rsidP="00197EAF">
            <w:pPr>
              <w:pStyle w:val="ListBullet2"/>
            </w:pPr>
            <w:r w:rsidRPr="00197EAF">
              <w:t>main components</w:t>
            </w:r>
          </w:p>
          <w:p w:rsidR="00000000" w:rsidRPr="00197EAF" w:rsidP="00197EAF">
            <w:pPr>
              <w:pStyle w:val="ListBullet2"/>
            </w:pPr>
            <w:r w:rsidRPr="00197EAF">
              <w:t>types</w:t>
            </w:r>
          </w:p>
          <w:p w:rsidR="00000000" w:rsidRPr="00197EAF" w:rsidP="00197EAF">
            <w:pPr>
              <w:pStyle w:val="ListBullet2"/>
            </w:pPr>
            <w:r w:rsidRPr="00197EAF">
              <w:t>categories</w:t>
            </w:r>
          </w:p>
          <w:p w:rsidR="00000000" w:rsidRPr="00197EAF" w:rsidP="00197EAF">
            <w:pPr>
              <w:pStyle w:val="ListBullet2"/>
            </w:pPr>
            <w:r w:rsidRPr="00197EAF">
              <w:t>applications</w:t>
            </w:r>
          </w:p>
          <w:p w:rsidR="00000000" w:rsidRPr="00197EAF" w:rsidP="00197EAF">
            <w:pPr>
              <w:pStyle w:val="ListBullet2"/>
            </w:pPr>
            <w:r w:rsidRPr="00197EAF">
              <w:t>functions</w:t>
            </w:r>
          </w:p>
          <w:p w:rsidR="00000000" w:rsidRPr="00197EAF" w:rsidP="00197EAF">
            <w:pPr>
              <w:pStyle w:val="ListBullet"/>
            </w:pPr>
            <w:r w:rsidRPr="00197EAF">
              <w:t>basic principle of operation of HV system protection devices</w:t>
            </w:r>
          </w:p>
          <w:p w:rsidR="00000000" w:rsidRPr="00197EAF" w:rsidP="00197EAF">
            <w:pPr>
              <w:pStyle w:val="ListBullet"/>
            </w:pPr>
            <w:r w:rsidRPr="00197EAF">
              <w:t>protection coordination and protection - zoning</w:t>
            </w:r>
          </w:p>
          <w:p w:rsidR="00000000" w:rsidRPr="00197EAF" w:rsidP="00197EAF">
            <w:pPr>
              <w:pStyle w:val="ListBullet"/>
            </w:pPr>
            <w:r w:rsidRPr="00197EAF">
              <w:t>HV feeder auto-reclosing suppression, including:</w:t>
            </w:r>
          </w:p>
          <w:p w:rsidR="00000000" w:rsidRPr="00197EAF" w:rsidP="00197EAF">
            <w:pPr>
              <w:pStyle w:val="ListBullet2"/>
            </w:pPr>
            <w:r w:rsidRPr="00197EAF">
              <w:t>function</w:t>
            </w:r>
          </w:p>
          <w:p w:rsidR="00000000" w:rsidRPr="00197EAF" w:rsidP="00197EAF">
            <w:pPr>
              <w:pStyle w:val="ListBullet2"/>
            </w:pPr>
            <w:r w:rsidRPr="00197EAF">
              <w:t>application</w:t>
            </w:r>
          </w:p>
          <w:p w:rsidR="00000000" w:rsidRPr="00197EAF" w:rsidP="00197EAF">
            <w:pPr>
              <w:pStyle w:val="ListBullet"/>
            </w:pPr>
            <w:r w:rsidRPr="00197EAF">
              <w:t>circuit condition requirements and switc</w:t>
            </w:r>
            <w:r w:rsidRPr="00197EAF">
              <w:t>hing considerations when paralleling and separating HV feeders</w:t>
            </w:r>
          </w:p>
          <w:p w:rsidR="00000000" w:rsidRPr="00197EAF" w:rsidP="00197EAF">
            <w:pPr>
              <w:pStyle w:val="ListBullet"/>
            </w:pPr>
            <w:r w:rsidRPr="00197EAF">
              <w:t>operation of HV distribution transformers, including:</w:t>
            </w:r>
          </w:p>
          <w:p w:rsidR="00000000" w:rsidRPr="00197EAF" w:rsidP="00197EAF">
            <w:pPr>
              <w:pStyle w:val="ListBullet2"/>
            </w:pPr>
            <w:r w:rsidRPr="00197EAF">
              <w:t>principle governing factors for transformer ratings</w:t>
            </w:r>
          </w:p>
          <w:p w:rsidR="00000000" w:rsidRPr="00197EAF" w:rsidP="00197EAF">
            <w:pPr>
              <w:pStyle w:val="ListBullet2"/>
            </w:pPr>
            <w:r w:rsidRPr="00197EAF">
              <w:t>protection and alarms</w:t>
            </w:r>
          </w:p>
          <w:p w:rsidR="00000000" w:rsidRPr="00197EAF" w:rsidP="00197EAF">
            <w:pPr>
              <w:pStyle w:val="ListBullet2"/>
            </w:pPr>
            <w:r w:rsidRPr="00197EAF">
              <w:t>operating limitations and the relationship between transformer and HV fuse rating</w:t>
            </w:r>
          </w:p>
          <w:p w:rsidR="00000000" w:rsidRPr="00197EAF" w:rsidP="00197EAF">
            <w:pPr>
              <w:pStyle w:val="ListBullet2"/>
            </w:pPr>
            <w:r w:rsidRPr="00197EAF">
              <w:t>purpose and principle operation of HV distribution transformer tap changers</w:t>
            </w:r>
          </w:p>
          <w:p w:rsidR="00000000" w:rsidRPr="00197EAF" w:rsidP="00197EAF">
            <w:pPr>
              <w:pStyle w:val="ListBullet2"/>
            </w:pPr>
            <w:r w:rsidRPr="00197EAF">
              <w:t>HV distribution transformer and transformer-cable combination switching practices</w:t>
            </w:r>
          </w:p>
          <w:p w:rsidR="00000000" w:rsidRPr="00197EAF" w:rsidP="00197EAF">
            <w:pPr>
              <w:pStyle w:val="ListBullet2"/>
            </w:pPr>
            <w:r w:rsidRPr="00197EAF">
              <w:t>paralleling requ</w:t>
            </w:r>
            <w:r w:rsidRPr="00197EAF">
              <w:t>irements</w:t>
            </w:r>
          </w:p>
          <w:p w:rsidR="00000000" w:rsidRPr="00197EAF" w:rsidP="00197EAF">
            <w:pPr>
              <w:pStyle w:val="ListBullet2"/>
            </w:pPr>
            <w:r w:rsidRPr="00197EAF">
              <w:t>isolation and earthing procedures for access</w:t>
            </w:r>
          </w:p>
          <w:p w:rsidR="00000000" w:rsidRPr="00197EAF" w:rsidP="00197EAF">
            <w:pPr>
              <w:pStyle w:val="ListBullet2"/>
            </w:pPr>
            <w:r w:rsidRPr="00197EAF">
              <w:t>common distribution transformer and associated electrical apparatus faults</w:t>
            </w:r>
          </w:p>
          <w:p w:rsidR="00000000" w:rsidRPr="00197EAF" w:rsidP="00197EAF">
            <w:pPr>
              <w:pStyle w:val="ListBullet"/>
            </w:pPr>
            <w:r w:rsidRPr="00197EAF">
              <w:t>HV underground switching equipment, such as:</w:t>
            </w:r>
          </w:p>
          <w:p w:rsidR="00000000" w:rsidRPr="00197EAF" w:rsidP="00197EAF">
            <w:pPr>
              <w:pStyle w:val="ListBullet2"/>
            </w:pPr>
            <w:r w:rsidRPr="00197EAF">
              <w:t>arc stranglers, switch operation, load break elbows, switching cubicles, caniste</w:t>
            </w:r>
            <w:r w:rsidRPr="00197EAF">
              <w:t>r fuses, bayonet fuses, F and G switching cubicles, voltage indicators and phasing testers</w:t>
            </w:r>
          </w:p>
          <w:p w:rsidR="00000000" w:rsidRPr="00197EAF" w:rsidP="00197EAF">
            <w:pPr>
              <w:pStyle w:val="ListBullet"/>
            </w:pPr>
            <w:r w:rsidRPr="00197EAF">
              <w:t>function of feeder automation system and the main components</w:t>
            </w:r>
          </w:p>
          <w:p w:rsidR="00000000" w:rsidRPr="00197EAF" w:rsidP="00197EAF">
            <w:pPr>
              <w:pStyle w:val="ListBullet"/>
            </w:pPr>
            <w:r w:rsidRPr="00197EAF">
              <w:t>operation procedure for a remote field device from a local control station</w:t>
            </w:r>
          </w:p>
          <w:p w:rsidR="00000000" w:rsidRPr="00197EAF" w:rsidP="00197EAF">
            <w:pPr>
              <w:pStyle w:val="ListBullet"/>
            </w:pPr>
            <w:r w:rsidRPr="00197EAF">
              <w:t>functions of supervisory control and data acquisition (SCADA) (or any other relevant data acquisition and control) systems and its main components</w:t>
            </w:r>
          </w:p>
          <w:p w:rsidR="00000000" w:rsidRPr="00197EAF" w:rsidP="00197EAF">
            <w:pPr>
              <w:pStyle w:val="ListBullet"/>
            </w:pPr>
            <w:r w:rsidRPr="00197EAF">
              <w:t>SCADA system security interlocks and access restrictions</w:t>
            </w:r>
          </w:p>
          <w:p w:rsidR="00000000" w:rsidRPr="00197EAF" w:rsidP="00197EAF">
            <w:pPr>
              <w:pStyle w:val="ListBullet"/>
            </w:pPr>
            <w:r w:rsidRPr="00197EAF">
              <w:t>SCADA system operation when switching apparatus or r</w:t>
            </w:r>
            <w:r w:rsidRPr="00197EAF">
              <w:t>etrieving data via a remote access device, such as remote access terminal (RAT), dial up voice annunciated system and local control station</w:t>
            </w:r>
          </w:p>
          <w:p w:rsidR="00000000" w:rsidRPr="00197EAF" w:rsidP="00197EAF">
            <w:pPr>
              <w:pStyle w:val="ListBullet"/>
            </w:pPr>
            <w:r w:rsidRPr="00197EAF">
              <w:t>function of the main components of a local/remote control system</w:t>
            </w:r>
          </w:p>
          <w:p w:rsidR="00000000" w:rsidRPr="00197EAF" w:rsidP="00197EAF">
            <w:pPr>
              <w:pStyle w:val="ListBullet"/>
            </w:pPr>
            <w:r w:rsidRPr="00197EAF">
              <w:t>operation of a field devices using SCADA systems vi</w:t>
            </w:r>
            <w:r w:rsidRPr="00197EAF">
              <w:t>a a remote access terminal (RAT), dial up voice annunciated system and local control station.</w:t>
            </w:r>
          </w:p>
        </w:tc>
      </w:tr>
    </w:tbl>
    <w:p w:rsidR="00000000" w:rsidRPr="00197EAF" w:rsidP="00197EAF">
      <w:pPr>
        <w:pStyle w:val="NoPaddingFontSize1"/>
      </w:pPr>
    </w:p>
    <w:p w:rsidR="00000000" w:rsidRPr="00197EAF" w:rsidP="00197EAF">
      <w:pPr>
        <w:pStyle w:val="AllowPageBreak"/>
      </w:pPr>
    </w:p>
    <w:p w:rsidR="00000000" w:rsidRPr="00197EAF" w:rsidP="00197EAF">
      <w:pPr>
        <w:pStyle w:val="Heading1"/>
      </w:pPr>
      <w:bookmarkStart w:id="14" w:name="O_1003263"/>
      <w:bookmarkEnd w:id="14"/>
      <w:r w:rsidRPr="00197EAF">
        <w:t>Assessment Conditions</w:t>
      </w:r>
    </w:p>
    <w:tbl>
      <w:tblPr>
        <w:tblW w:w="9497" w:type="dxa"/>
        <w:tblLayout w:type="fixed"/>
        <w:tblCellMar>
          <w:left w:w="62" w:type="dxa"/>
          <w:right w:w="62" w:type="dxa"/>
        </w:tblCellMar>
        <w:tblLook w:val="0000"/>
      </w:tblPr>
      <w:tblGrid>
        <w:gridCol w:w="9497"/>
      </w:tblGrid>
      <w:tr w:rsidTr="00197EA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97EAF" w:rsidP="00197EAF">
            <w:pPr>
              <w:pStyle w:val="BodyText"/>
            </w:pPr>
            <w:r w:rsidRPr="00197EAF">
              <w:t>Assessors must hold credentials specified within the Standards for Registered Training Organisations current at the tim</w:t>
            </w:r>
            <w:r w:rsidRPr="00197EAF">
              <w:t>e of assessment.</w:t>
            </w:r>
          </w:p>
          <w:p w:rsidR="00000000" w:rsidRPr="00197EAF" w:rsidP="00197EAF">
            <w:pPr>
              <w:pStyle w:val="BodyText"/>
            </w:pPr>
            <w:r w:rsidRPr="00197EAF">
              <w:t>Assessment must satisfy the Principles of Assessment and Rules of Evidence and all regulatory requirements included within the Standards for Registered Training Organisations current at the time of assessment.</w:t>
            </w:r>
          </w:p>
          <w:p w:rsidR="00000000" w:rsidRPr="00197EAF" w:rsidP="00197EAF">
            <w:pPr>
              <w:pStyle w:val="BodyText"/>
            </w:pPr>
            <w:r w:rsidRPr="00197EAF">
              <w:t>Assessment must occur in work</w:t>
            </w:r>
            <w:r w:rsidRPr="00197EAF">
              <w:t xml:space="preserve">place operational situations where it is appropriate to do so; where this is </w:t>
            </w:r>
            <w:r w:rsidRPr="00197EAF">
              <w:t>not appropriate, assessment must occur in simulated conditions involving realistic and authentic activities that replicate operational workplace conditions.</w:t>
            </w:r>
          </w:p>
          <w:p w:rsidR="00000000" w:rsidRPr="00197EAF" w:rsidP="00197EAF">
            <w:pPr>
              <w:pStyle w:val="BodyText"/>
            </w:pPr>
            <w:r w:rsidRPr="00197EAF">
              <w:t>Assessment processes a</w:t>
            </w:r>
            <w:r w:rsidRPr="00197EAF">
              <w:t>nd techniques must be appropriate to the language, literacy and numeracy requirements of the work being performed and the needs of the candidate.</w:t>
            </w:r>
          </w:p>
          <w:p w:rsidR="00000000" w:rsidRPr="00197EAF" w:rsidP="00197EAF">
            <w:pPr>
              <w:pStyle w:val="BodyText"/>
            </w:pPr>
            <w:r w:rsidRPr="00197EAF">
              <w:t>Resources for assessment must include access to:</w:t>
            </w:r>
          </w:p>
          <w:p w:rsidR="00000000" w:rsidRPr="00197EAF" w:rsidP="00197EAF">
            <w:pPr>
              <w:pStyle w:val="ListBullet"/>
            </w:pPr>
            <w:r w:rsidRPr="00197EAF">
              <w:t>a range of relevant exercises, case studies and/or other simulations</w:t>
            </w:r>
          </w:p>
          <w:p w:rsidR="00000000" w:rsidRPr="00197EAF" w:rsidP="00197EAF">
            <w:pPr>
              <w:pStyle w:val="ListBullet"/>
            </w:pPr>
            <w:r w:rsidRPr="00197EAF">
              <w:t>relevant and appropriate materials, tools, facilities, equipment and PPE currently used in industry for perform HV field switching operations to a given schedule</w:t>
            </w:r>
          </w:p>
          <w:p w:rsidR="00000000" w:rsidRPr="00197EAF" w:rsidP="00197EAF">
            <w:pPr>
              <w:pStyle w:val="ListBullet"/>
            </w:pPr>
            <w:r w:rsidRPr="00197EAF">
              <w:t>applicable documentation,</w:t>
            </w:r>
            <w:r w:rsidRPr="00197EAF">
              <w:t xml:space="preserve"> including workplace procedures, relevant industry standards, equipment specifications, regulations, codes of practice and operation manuals.</w:t>
            </w:r>
          </w:p>
        </w:tc>
      </w:tr>
    </w:tbl>
    <w:p w:rsidR="00000000" w:rsidRPr="00197EAF" w:rsidP="00197EAF">
      <w:pPr>
        <w:pStyle w:val="NoPaddingFontSize1"/>
      </w:pPr>
    </w:p>
    <w:p w:rsidR="00000000" w:rsidRPr="00197EAF" w:rsidP="00197EAF">
      <w:pPr>
        <w:pStyle w:val="AllowPageBreak"/>
      </w:pPr>
    </w:p>
    <w:p w:rsidR="00000000" w:rsidRPr="00197EAF" w:rsidP="00197EAF">
      <w:pPr>
        <w:pStyle w:val="Heading1"/>
      </w:pPr>
      <w:bookmarkStart w:id="15" w:name="O_1003266"/>
      <w:bookmarkEnd w:id="15"/>
      <w:r w:rsidRPr="00197EAF">
        <w:t>Links</w:t>
      </w:r>
    </w:p>
    <w:p w:rsidR="00000000" w:rsidRPr="00197EAF" w:rsidP="000D3B88">
      <w:pPr>
        <w:pStyle w:val="BodyText"/>
      </w:pPr>
      <w:r w:rsidRPr="00197EAF">
        <w:t xml:space="preserve">UET Training Package Companion Volume Implementation Guide is found in VETNet - </w:t>
      </w:r>
      <w:r>
        <w:fldChar w:fldCharType="begin"/>
      </w:r>
      <w:r>
        <w:instrText xml:space="preserve"> HYPERLINK "https://vetnet.gov.au/Pages/TrainingDocs.aspx?q=229bace1-b7bc-4653-9300-dffb13ecfad7" </w:instrText>
      </w:r>
      <w:r>
        <w:fldChar w:fldCharType="separate"/>
      </w:r>
      <w:r w:rsidRPr="00A50164">
        <w:rPr>
          <w:rStyle w:val="Hyperlink"/>
        </w:rPr>
        <w:t>https://vetnet.gov.au/Pages/TrainingDocs.aspx?q=229bace1-b7bc-4653-9300-dffb13ecfad7</w:t>
      </w:r>
      <w:r>
        <w:fldChar w:fldCharType="end"/>
      </w:r>
    </w:p>
    <w:p w:rsidR="00000000" w:rsidRPr="00197EAF" w:rsidP="00197EAF"/>
    <w:sectPr w:rsidSect="00197EAF">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7EA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7EAF" w:rsidRPr="000D3B88" w:rsidP="000D3B8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7EA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3B88" w:rsidP="00197EA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8</w:t>
    </w:r>
    <w:r>
      <w:rPr>
        <w:noProof/>
      </w:rPr>
      <w:fldChar w:fldCharType="end"/>
    </w:r>
  </w:p>
  <w:p w:rsidR="000D3B88" w:rsidP="00197EAF">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0D3B88" w:rsidP="00197EAF">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7EAF" w:rsidP="00197EAF">
    <w:pPr>
      <w:pStyle w:val="Footer"/>
      <w:framePr w:wrap="around"/>
    </w:pPr>
    <w:r>
      <w:fldChar w:fldCharType="begin"/>
    </w:r>
    <w:r>
      <w:instrText xml:space="preserve"> DOCPROPERTY  Subject  \* MERGEFORMAT </w:instrText>
    </w:r>
    <w:r>
      <w:fldChar w:fldCharType="separate"/>
    </w:r>
    <w:r w:rsidR="000D3B88">
      <w:t>Approved</w:t>
    </w:r>
    <w:r w:rsidR="000D3B88">
      <w:fldChar w:fldCharType="end"/>
    </w:r>
    <w:r>
      <w:tab/>
      <w:t xml:space="preserve">Page </w:t>
    </w:r>
    <w:r>
      <w:fldChar w:fldCharType="begin"/>
    </w:r>
    <w:r>
      <w:instrText xml:space="preserve"> PAGE  \* Arabic  \* MERGEFORMAT </w:instrText>
    </w:r>
    <w:r>
      <w:fldChar w:fldCharType="separate"/>
    </w:r>
    <w:r w:rsidR="000D3B88">
      <w:rPr>
        <w:noProof/>
      </w:rPr>
      <w:t>8</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0D3B88">
      <w:rPr>
        <w:noProof/>
      </w:rPr>
      <w:t>8</w:t>
    </w:r>
    <w:r>
      <w:rPr>
        <w:noProof/>
      </w:rPr>
      <w:fldChar w:fldCharType="end"/>
    </w:r>
  </w:p>
  <w:p w:rsidR="00197EAF" w:rsidP="00197EAF">
    <w:pPr>
      <w:pStyle w:val="Footer"/>
      <w:framePr w:wrap="around"/>
    </w:pPr>
    <w:r>
      <w:t xml:space="preserve">© Commonwealth of Australia, </w:t>
    </w:r>
    <w:r>
      <w:fldChar w:fldCharType="begin"/>
    </w:r>
    <w:r>
      <w:instrText xml:space="preserve"> DATE  \@ "yyyy"  \* MERGEFORMAT </w:instrText>
    </w:r>
    <w:r>
      <w:fldChar w:fldCharType="separate"/>
    </w:r>
    <w:r w:rsidR="000D3B88">
      <w:rPr>
        <w:noProof/>
      </w:rPr>
      <w:t>2025</w:t>
    </w:r>
    <w:r>
      <w:fldChar w:fldCharType="end"/>
    </w:r>
    <w:r>
      <w:tab/>
    </w:r>
    <w:r>
      <w:fldChar w:fldCharType="begin"/>
    </w:r>
    <w:r>
      <w:instrText xml:space="preserve"> DOCPROPERTY  Author  \* MERGEFORMAT </w:instrText>
    </w:r>
    <w:r>
      <w:fldChar w:fldCharType="separate"/>
    </w:r>
    <w:r w:rsidR="000D3B88">
      <w:t>Powering Skills Organisation</w:t>
    </w:r>
    <w:r w:rsidR="000D3B88">
      <w:fldChar w:fldCharType="end"/>
    </w:r>
  </w:p>
  <w:p w:rsidR="00197EAF" w:rsidP="00197EA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7EA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3B8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97EAF" w:rsidRPr="000D3B88" w:rsidP="000D3B8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7EA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3B88" w:rsidRPr="002D2AF8" w:rsidP="00197EAF">
    <w:pPr>
      <w:pStyle w:val="Header"/>
      <w:framePr w:wrap="around"/>
    </w:pPr>
    <w:r>
      <w:fldChar w:fldCharType="begin"/>
    </w:r>
    <w:r>
      <w:instrText xml:space="preserve"> TITLE   \* MERGEFORMAT </w:instrText>
    </w:r>
    <w:r>
      <w:fldChar w:fldCharType="separate"/>
    </w:r>
    <w:r>
      <w:t>UETTDRIS44 Perform HV field switching operation to a given schedule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0D3B88" w:rsidP="00197EAF">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7EAF" w:rsidRPr="002D2AF8" w:rsidP="00197EAF">
    <w:pPr>
      <w:pStyle w:val="Header"/>
      <w:framePr w:wrap="around"/>
    </w:pPr>
    <w:r>
      <w:fldChar w:fldCharType="begin"/>
    </w:r>
    <w:r>
      <w:instrText xml:space="preserve"> TITLE   \* MERGEFORMAT </w:instrText>
    </w:r>
    <w:r>
      <w:fldChar w:fldCharType="separate"/>
    </w:r>
    <w:r w:rsidR="000D3B88">
      <w:t>UETTDRIS44 Perform HV field switching operation to a given schedule</w:t>
    </w:r>
    <w:r w:rsidR="000D3B88">
      <w:fldChar w:fldCharType="end"/>
    </w:r>
    <w:r>
      <w:tab/>
      <w:t xml:space="preserve">Date this document was generated: </w:t>
    </w:r>
    <w:r>
      <w:fldChar w:fldCharType="begin"/>
    </w:r>
    <w:r>
      <w:instrText xml:space="preserve"> CREATEDATE  \@ "d MMMM yyyy"  \* MERGEFORMAT </w:instrText>
    </w:r>
    <w:r>
      <w:fldChar w:fldCharType="separate"/>
    </w:r>
    <w:r w:rsidR="000D3B88">
      <w:rPr>
        <w:noProof/>
      </w:rPr>
      <w:t>2 March 2025</w:t>
    </w:r>
    <w:r>
      <w:fldChar w:fldCharType="end"/>
    </w:r>
  </w:p>
  <w:p w:rsidR="00197EAF" w:rsidP="00197EA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B32099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C60513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9E65AE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97EA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97EAF"/>
    <w:pPr>
      <w:spacing w:before="360" w:after="60"/>
      <w:outlineLvl w:val="0"/>
    </w:pPr>
    <w:rPr>
      <w:sz w:val="32"/>
    </w:rPr>
  </w:style>
  <w:style w:type="paragraph" w:styleId="Heading2">
    <w:name w:val="heading 2"/>
    <w:basedOn w:val="HeadingBase"/>
    <w:next w:val="BodyText"/>
    <w:link w:val="Heading2Char"/>
    <w:qFormat/>
    <w:rsid w:val="00197EAF"/>
    <w:pPr>
      <w:keepLines/>
      <w:spacing w:before="240" w:after="120"/>
      <w:outlineLvl w:val="1"/>
    </w:pPr>
    <w:rPr>
      <w:sz w:val="28"/>
      <w:szCs w:val="40"/>
    </w:rPr>
  </w:style>
  <w:style w:type="paragraph" w:styleId="Heading3">
    <w:name w:val="heading 3"/>
    <w:basedOn w:val="HeadingBase"/>
    <w:next w:val="BodyText"/>
    <w:link w:val="Heading3Char"/>
    <w:qFormat/>
    <w:rsid w:val="00197EAF"/>
    <w:pPr>
      <w:spacing w:before="180" w:after="120"/>
      <w:outlineLvl w:val="2"/>
    </w:pPr>
    <w:rPr>
      <w:spacing w:val="-10"/>
      <w:kern w:val="32"/>
    </w:rPr>
  </w:style>
  <w:style w:type="paragraph" w:styleId="Heading4">
    <w:name w:val="heading 4"/>
    <w:basedOn w:val="HeadingBase"/>
    <w:next w:val="BodyText"/>
    <w:link w:val="Heading4Char"/>
    <w:qFormat/>
    <w:rsid w:val="00197EAF"/>
    <w:pPr>
      <w:spacing w:before="160" w:after="120"/>
      <w:outlineLvl w:val="3"/>
    </w:pPr>
    <w:rPr>
      <w:sz w:val="22"/>
    </w:rPr>
  </w:style>
  <w:style w:type="paragraph" w:styleId="Heading5">
    <w:name w:val="heading 5"/>
    <w:basedOn w:val="HeadingBase"/>
    <w:next w:val="Normal"/>
    <w:link w:val="Heading5Char"/>
    <w:qFormat/>
    <w:rsid w:val="00197EAF"/>
    <w:pPr>
      <w:spacing w:before="80"/>
      <w:outlineLvl w:val="4"/>
    </w:pPr>
    <w:rPr>
      <w:color w:val="918585"/>
      <w:sz w:val="20"/>
    </w:rPr>
  </w:style>
  <w:style w:type="paragraph" w:styleId="Heading6">
    <w:name w:val="heading 6"/>
    <w:basedOn w:val="HeadingBase"/>
    <w:next w:val="Normal"/>
    <w:link w:val="Heading6Char"/>
    <w:qFormat/>
    <w:rsid w:val="00197EAF"/>
    <w:pPr>
      <w:spacing w:before="60"/>
      <w:outlineLvl w:val="5"/>
    </w:pPr>
    <w:rPr>
      <w:color w:val="918585"/>
      <w:sz w:val="20"/>
    </w:rPr>
  </w:style>
  <w:style w:type="paragraph" w:styleId="Heading7">
    <w:name w:val="heading 7"/>
    <w:basedOn w:val="Normal"/>
    <w:next w:val="Normal"/>
    <w:link w:val="Heading7Char"/>
    <w:qFormat/>
    <w:rsid w:val="00197EAF"/>
    <w:pPr>
      <w:ind w:left="720"/>
      <w:outlineLvl w:val="6"/>
    </w:pPr>
    <w:rPr>
      <w:i/>
    </w:rPr>
  </w:style>
  <w:style w:type="paragraph" w:styleId="Heading8">
    <w:name w:val="heading 8"/>
    <w:basedOn w:val="Normal"/>
    <w:next w:val="Normal"/>
    <w:link w:val="Heading8Char"/>
    <w:qFormat/>
    <w:rsid w:val="00197EAF"/>
    <w:pPr>
      <w:ind w:left="720"/>
      <w:outlineLvl w:val="7"/>
    </w:pPr>
    <w:rPr>
      <w:i/>
    </w:rPr>
  </w:style>
  <w:style w:type="paragraph" w:styleId="Heading9">
    <w:name w:val="heading 9"/>
    <w:basedOn w:val="Normal"/>
    <w:next w:val="Normal"/>
    <w:link w:val="Heading9Char"/>
    <w:qFormat/>
    <w:rsid w:val="00197EAF"/>
    <w:pPr>
      <w:ind w:left="720"/>
      <w:outlineLvl w:val="8"/>
    </w:pPr>
    <w:rPr>
      <w:i/>
    </w:rPr>
  </w:style>
  <w:style w:type="character" w:default="1" w:styleId="DefaultParagraphFont">
    <w:name w:val="Default Paragraph Font"/>
    <w:uiPriority w:val="1"/>
    <w:unhideWhenUsed/>
    <w:rsid w:val="00197EA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97EAF"/>
  </w:style>
  <w:style w:type="character" w:customStyle="1" w:styleId="Heading1Char">
    <w:name w:val="Heading 1 Char"/>
    <w:basedOn w:val="DefaultParagraphFont"/>
    <w:link w:val="Heading1"/>
    <w:rsid w:val="00197EAF"/>
    <w:rPr>
      <w:rFonts w:ascii="Times New Roman" w:eastAsia="Times New Roman" w:hAnsi="Times New Roman" w:cs="Times New Roman"/>
      <w:b/>
      <w:sz w:val="32"/>
      <w:szCs w:val="20"/>
      <w:lang w:eastAsia="en-US"/>
    </w:rPr>
  </w:style>
  <w:style w:type="paragraph" w:styleId="BodyText">
    <w:name w:val="Body Text"/>
    <w:basedOn w:val="Normal"/>
    <w:link w:val="BodyTextChar"/>
    <w:rsid w:val="00197EA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97EAF"/>
    <w:rPr>
      <w:rFonts w:ascii="Times New Roman" w:eastAsia="Times New Roman" w:hAnsi="Times New Roman" w:cs="Times New Roman"/>
      <w:sz w:val="24"/>
      <w:lang w:eastAsia="en-US"/>
    </w:rPr>
  </w:style>
  <w:style w:type="paragraph" w:styleId="ListBullet">
    <w:name w:val="List Bullet"/>
    <w:basedOn w:val="List"/>
    <w:rsid w:val="00197EAF"/>
    <w:pPr>
      <w:numPr>
        <w:numId w:val="12"/>
      </w:numPr>
      <w:tabs>
        <w:tab w:val="clear" w:pos="340"/>
      </w:tabs>
      <w:spacing w:before="40" w:after="40"/>
    </w:pPr>
  </w:style>
  <w:style w:type="character" w:customStyle="1" w:styleId="SpecialBold">
    <w:name w:val="Special Bold"/>
    <w:basedOn w:val="DefaultParagraphFont"/>
    <w:rsid w:val="00197EAF"/>
    <w:rPr>
      <w:b/>
      <w:spacing w:val="0"/>
    </w:rPr>
  </w:style>
  <w:style w:type="paragraph" w:styleId="ListBullet2">
    <w:name w:val="List Bullet 2"/>
    <w:basedOn w:val="List2"/>
    <w:rsid w:val="00197EAF"/>
    <w:pPr>
      <w:numPr>
        <w:numId w:val="13"/>
      </w:numPr>
      <w:tabs>
        <w:tab w:val="clear" w:pos="680"/>
      </w:tabs>
    </w:pPr>
  </w:style>
  <w:style w:type="paragraph" w:customStyle="1" w:styleId="SuperHeading">
    <w:name w:val="SuperHeading"/>
    <w:basedOn w:val="Normal"/>
    <w:rsid w:val="00197EAF"/>
    <w:pPr>
      <w:spacing w:before="240" w:after="120"/>
      <w:outlineLvl w:val="0"/>
    </w:pPr>
    <w:rPr>
      <w:rFonts w:ascii="Times New Roman" w:hAnsi="Times New Roman"/>
      <w:b/>
      <w:sz w:val="32"/>
    </w:rPr>
  </w:style>
  <w:style w:type="paragraph" w:customStyle="1" w:styleId="AllowPageBreak">
    <w:name w:val="AllowPageBreak"/>
    <w:rsid w:val="00197EAF"/>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197EA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97EA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97EA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97EA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97EA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97EA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97EA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97EAF"/>
    <w:rPr>
      <w:rFonts w:ascii="Courier New" w:eastAsia="Times New Roman" w:hAnsi="Courier New" w:cs="Times New Roman"/>
      <w:i/>
      <w:szCs w:val="20"/>
      <w:lang w:eastAsia="en-US"/>
    </w:rPr>
  </w:style>
  <w:style w:type="paragraph" w:customStyle="1" w:styleId="HeadingBase">
    <w:name w:val="Heading Base"/>
    <w:rsid w:val="00197EA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97EAF"/>
    <w:pPr>
      <w:tabs>
        <w:tab w:val="right" w:leader="dot" w:pos="9072"/>
      </w:tabs>
      <w:ind w:left="567"/>
    </w:pPr>
    <w:rPr>
      <w:szCs w:val="22"/>
    </w:rPr>
  </w:style>
  <w:style w:type="paragraph" w:customStyle="1" w:styleId="TOCBase">
    <w:name w:val="TOC Base"/>
    <w:rsid w:val="00197EA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97EAF"/>
    <w:pPr>
      <w:tabs>
        <w:tab w:val="right" w:leader="dot" w:pos="9072"/>
      </w:tabs>
      <w:spacing w:before="40" w:after="40"/>
      <w:ind w:left="284"/>
    </w:pPr>
    <w:rPr>
      <w:rFonts w:ascii="Times New Roman" w:hAnsi="Times New Roman"/>
    </w:rPr>
  </w:style>
  <w:style w:type="paragraph" w:styleId="TOC1">
    <w:name w:val="toc 1"/>
    <w:basedOn w:val="TOCBase"/>
    <w:next w:val="Normal"/>
    <w:rsid w:val="00197EA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97EA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97EAF"/>
    <w:rPr>
      <w:rFonts w:ascii="Times New Roman" w:eastAsia="Times New Roman" w:hAnsi="Times New Roman" w:cs="Times New Roman"/>
      <w:sz w:val="16"/>
      <w:lang w:eastAsia="en-US"/>
    </w:rPr>
  </w:style>
  <w:style w:type="paragraph" w:styleId="Title">
    <w:name w:val="Title"/>
    <w:basedOn w:val="HeadingBase"/>
    <w:link w:val="TitleChar"/>
    <w:qFormat/>
    <w:rsid w:val="00197EAF"/>
    <w:pPr>
      <w:spacing w:before="5040"/>
      <w:jc w:val="center"/>
    </w:pPr>
    <w:rPr>
      <w:sz w:val="48"/>
      <w:szCs w:val="72"/>
      <w:lang w:val="en-US"/>
    </w:rPr>
  </w:style>
  <w:style w:type="character" w:customStyle="1" w:styleId="TitleChar">
    <w:name w:val="Title Char"/>
    <w:basedOn w:val="DefaultParagraphFont"/>
    <w:link w:val="Title"/>
    <w:rsid w:val="00197EA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97EAF"/>
    <w:pPr>
      <w:tabs>
        <w:tab w:val="left" w:pos="3600"/>
        <w:tab w:val="left" w:pos="3958"/>
      </w:tabs>
    </w:pPr>
  </w:style>
  <w:style w:type="paragraph" w:styleId="List">
    <w:name w:val="List"/>
    <w:basedOn w:val="BodyText"/>
    <w:next w:val="BodyText"/>
    <w:rsid w:val="00197EAF"/>
    <w:pPr>
      <w:tabs>
        <w:tab w:val="left" w:pos="340"/>
      </w:tabs>
      <w:spacing w:before="60" w:after="60"/>
      <w:ind w:left="340" w:hanging="340"/>
    </w:pPr>
  </w:style>
  <w:style w:type="paragraph" w:customStyle="1" w:styleId="Note">
    <w:name w:val="Note"/>
    <w:basedOn w:val="BodyText"/>
    <w:rsid w:val="00197EA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97EAF"/>
    <w:pPr>
      <w:framePr w:wrap="auto" w:hAnchor="text" w:y="6049"/>
    </w:pPr>
    <w:rPr>
      <w:color w:val="000000"/>
      <w:sz w:val="40"/>
    </w:rPr>
  </w:style>
  <w:style w:type="paragraph" w:customStyle="1" w:styleId="TOCTitle">
    <w:name w:val="TOCTitle"/>
    <w:basedOn w:val="Heading1"/>
    <w:rsid w:val="00197EAF"/>
    <w:pPr>
      <w:spacing w:after="240"/>
      <w:jc w:val="center"/>
      <w:outlineLvl w:val="9"/>
    </w:pPr>
    <w:rPr>
      <w:caps/>
    </w:rPr>
  </w:style>
  <w:style w:type="paragraph" w:customStyle="1" w:styleId="Version">
    <w:name w:val="Version"/>
    <w:rsid w:val="00197EA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97EAF"/>
    <w:pPr>
      <w:keepNext w:val="0"/>
      <w:tabs>
        <w:tab w:val="right" w:pos="4176"/>
      </w:tabs>
      <w:ind w:left="198" w:hanging="198"/>
    </w:pPr>
    <w:rPr>
      <w:rFonts w:ascii="Garamond" w:hAnsi="Garamond"/>
    </w:rPr>
  </w:style>
  <w:style w:type="paragraph" w:styleId="IndexHeading">
    <w:name w:val="index heading"/>
    <w:basedOn w:val="Normal"/>
    <w:next w:val="Index1"/>
    <w:semiHidden/>
    <w:rsid w:val="00197EAF"/>
    <w:pPr>
      <w:spacing w:before="120" w:after="120"/>
    </w:pPr>
    <w:rPr>
      <w:rFonts w:ascii="Arial" w:hAnsi="Arial"/>
      <w:b/>
      <w:color w:val="918585"/>
      <w:sz w:val="24"/>
    </w:rPr>
  </w:style>
  <w:style w:type="paragraph" w:styleId="Header">
    <w:name w:val="header"/>
    <w:basedOn w:val="Normal"/>
    <w:link w:val="HeaderChar"/>
    <w:rsid w:val="00197EA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97EAF"/>
    <w:rPr>
      <w:rFonts w:ascii="Times New Roman" w:eastAsia="Times New Roman" w:hAnsi="Times New Roman" w:cs="Times New Roman"/>
      <w:sz w:val="16"/>
      <w:szCs w:val="20"/>
      <w:lang w:val="en-GB" w:eastAsia="en-US"/>
    </w:rPr>
  </w:style>
  <w:style w:type="paragraph" w:customStyle="1" w:styleId="Chapter">
    <w:name w:val="Chapter"/>
    <w:basedOn w:val="Normal"/>
    <w:rsid w:val="00197EAF"/>
    <w:pPr>
      <w:spacing w:before="240"/>
    </w:pPr>
    <w:rPr>
      <w:rFonts w:ascii="Times New Roman" w:hAnsi="Times New Roman"/>
      <w:smallCaps/>
      <w:spacing w:val="80"/>
      <w:sz w:val="28"/>
    </w:rPr>
  </w:style>
  <w:style w:type="paragraph" w:customStyle="1" w:styleId="InChapter">
    <w:name w:val="InChapter"/>
    <w:basedOn w:val="Heading3"/>
    <w:rsid w:val="00197EAF"/>
    <w:pPr>
      <w:spacing w:after="240"/>
      <w:outlineLvl w:val="9"/>
    </w:pPr>
    <w:rPr>
      <w:noProof/>
    </w:rPr>
  </w:style>
  <w:style w:type="paragraph" w:styleId="Index2">
    <w:name w:val="index 2"/>
    <w:basedOn w:val="Normal"/>
    <w:next w:val="Normal"/>
    <w:semiHidden/>
    <w:rsid w:val="00197EAF"/>
    <w:pPr>
      <w:tabs>
        <w:tab w:val="right" w:pos="4176"/>
      </w:tabs>
      <w:ind w:left="568" w:hanging="284"/>
    </w:pPr>
    <w:rPr>
      <w:rFonts w:ascii="Garamond" w:hAnsi="Garamond"/>
    </w:rPr>
  </w:style>
  <w:style w:type="paragraph" w:customStyle="1" w:styleId="Byline">
    <w:name w:val="Byline"/>
    <w:rsid w:val="00197EA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97EAF"/>
    <w:pPr>
      <w:tabs>
        <w:tab w:val="clear" w:pos="3600"/>
        <w:tab w:val="clear" w:pos="3958"/>
      </w:tabs>
      <w:jc w:val="right"/>
    </w:pPr>
  </w:style>
  <w:style w:type="character" w:styleId="Emphasis">
    <w:name w:val="Emphasis"/>
    <w:basedOn w:val="DefaultParagraphFont"/>
    <w:qFormat/>
    <w:rsid w:val="00197EAF"/>
    <w:rPr>
      <w:i/>
    </w:rPr>
  </w:style>
  <w:style w:type="paragraph" w:styleId="Caption">
    <w:name w:val="caption"/>
    <w:basedOn w:val="BodyText"/>
    <w:next w:val="Normal"/>
    <w:qFormat/>
    <w:rsid w:val="00197EAF"/>
    <w:pPr>
      <w:framePr w:w="2268" w:hSpace="181" w:vSpace="181" w:wrap="around" w:vAnchor="text" w:hAnchor="page" w:x="1135" w:y="285" w:anchorLock="1"/>
    </w:pPr>
    <w:rPr>
      <w:i/>
    </w:rPr>
  </w:style>
  <w:style w:type="paragraph" w:customStyle="1" w:styleId="MiniTOCTitle">
    <w:name w:val="MiniTOCTitle"/>
    <w:basedOn w:val="Heading4"/>
    <w:rsid w:val="00197EAF"/>
    <w:pPr>
      <w:spacing w:before="240"/>
      <w:outlineLvl w:val="9"/>
    </w:pPr>
    <w:rPr>
      <w:noProof/>
      <w:sz w:val="24"/>
    </w:rPr>
  </w:style>
  <w:style w:type="paragraph" w:customStyle="1" w:styleId="MiniTOCItem">
    <w:name w:val="MiniTOCItem"/>
    <w:basedOn w:val="ListBullet"/>
    <w:rsid w:val="00197EAF"/>
    <w:pPr>
      <w:numPr>
        <w:numId w:val="0"/>
      </w:numPr>
      <w:tabs>
        <w:tab w:val="right" w:leader="dot" w:pos="6521"/>
      </w:tabs>
      <w:spacing w:before="0" w:after="0"/>
    </w:pPr>
  </w:style>
  <w:style w:type="paragraph" w:customStyle="1" w:styleId="TOFTitle">
    <w:name w:val="TOFTitle"/>
    <w:basedOn w:val="TOCTitle"/>
    <w:rsid w:val="00197EAF"/>
  </w:style>
  <w:style w:type="paragraph" w:styleId="TableofFigures">
    <w:name w:val="table of figures"/>
    <w:basedOn w:val="Normal"/>
    <w:next w:val="Normal"/>
    <w:semiHidden/>
    <w:rsid w:val="00197EAF"/>
    <w:pPr>
      <w:tabs>
        <w:tab w:val="right" w:leader="dot" w:pos="9072"/>
      </w:tabs>
      <w:ind w:left="970" w:hanging="403"/>
    </w:pPr>
    <w:rPr>
      <w:rFonts w:ascii="Times New Roman" w:hAnsi="Times New Roman"/>
      <w:b/>
    </w:rPr>
  </w:style>
  <w:style w:type="paragraph" w:styleId="ListNumber">
    <w:name w:val="List Number"/>
    <w:basedOn w:val="List"/>
    <w:rsid w:val="00197EAF"/>
    <w:pPr>
      <w:numPr>
        <w:numId w:val="15"/>
      </w:numPr>
      <w:tabs>
        <w:tab w:val="clear" w:pos="340"/>
      </w:tabs>
    </w:pPr>
  </w:style>
  <w:style w:type="character" w:customStyle="1" w:styleId="WingdingSymbols">
    <w:name w:val="Wingding Symbols"/>
    <w:rsid w:val="00197EAF"/>
    <w:rPr>
      <w:rFonts w:ascii="Wingdings" w:hAnsi="Wingdings"/>
    </w:rPr>
  </w:style>
  <w:style w:type="paragraph" w:customStyle="1" w:styleId="TableHeading">
    <w:name w:val="Table Heading"/>
    <w:basedOn w:val="HeadingBase"/>
    <w:rsid w:val="00197EAF"/>
    <w:pPr>
      <w:keepLines/>
      <w:pBdr>
        <w:bottom w:val="single" w:sz="6" w:space="1" w:color="918585"/>
      </w:pBdr>
      <w:spacing w:before="240"/>
    </w:pPr>
  </w:style>
  <w:style w:type="character" w:customStyle="1" w:styleId="HotSpot">
    <w:name w:val="HotSpot"/>
    <w:rsid w:val="00197EAF"/>
    <w:rPr>
      <w:color w:val="0033CC"/>
      <w:u w:val="none"/>
    </w:rPr>
  </w:style>
  <w:style w:type="paragraph" w:customStyle="1" w:styleId="BodyTextRight">
    <w:name w:val="Body Text Right"/>
    <w:basedOn w:val="BodyText"/>
    <w:rsid w:val="00197EAF"/>
    <w:pPr>
      <w:spacing w:before="0" w:after="0"/>
      <w:jc w:val="right"/>
    </w:pPr>
  </w:style>
  <w:style w:type="paragraph" w:styleId="Index3">
    <w:name w:val="index 3"/>
    <w:basedOn w:val="ListNumber2"/>
    <w:next w:val="Normal"/>
    <w:semiHidden/>
    <w:rsid w:val="00197EAF"/>
    <w:pPr>
      <w:numPr>
        <w:numId w:val="0"/>
      </w:numPr>
      <w:tabs>
        <w:tab w:val="right" w:leader="dot" w:pos="4176"/>
      </w:tabs>
    </w:pPr>
  </w:style>
  <w:style w:type="paragraph" w:styleId="ListNumber2">
    <w:name w:val="List Number 2"/>
    <w:basedOn w:val="List2"/>
    <w:rsid w:val="00197EAF"/>
    <w:pPr>
      <w:numPr>
        <w:numId w:val="10"/>
      </w:numPr>
      <w:tabs>
        <w:tab w:val="clear" w:pos="1060"/>
      </w:tabs>
    </w:pPr>
  </w:style>
  <w:style w:type="paragraph" w:customStyle="1" w:styleId="MarginNote">
    <w:name w:val="Margin Note"/>
    <w:basedOn w:val="BodyText"/>
    <w:rsid w:val="00197EA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97EA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97EA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97EAF"/>
    <w:rPr>
      <w:sz w:val="32"/>
    </w:rPr>
  </w:style>
  <w:style w:type="paragraph" w:customStyle="1" w:styleId="HeadingProcedure">
    <w:name w:val="Heading Procedure"/>
    <w:basedOn w:val="HeadingBase"/>
    <w:next w:val="Normal"/>
    <w:rsid w:val="00197EAF"/>
    <w:pPr>
      <w:tabs>
        <w:tab w:val="left" w:pos="0"/>
      </w:tabs>
      <w:spacing w:before="120" w:after="60"/>
    </w:pPr>
    <w:rPr>
      <w:i/>
      <w:color w:val="918585"/>
      <w:sz w:val="22"/>
    </w:rPr>
  </w:style>
  <w:style w:type="paragraph" w:customStyle="1" w:styleId="TableBodyText">
    <w:name w:val="Table Body Text"/>
    <w:basedOn w:val="BodyText"/>
    <w:rsid w:val="00197EAF"/>
    <w:pPr>
      <w:spacing w:before="60" w:after="60"/>
    </w:pPr>
  </w:style>
  <w:style w:type="paragraph" w:styleId="ListContinue">
    <w:name w:val="List Continue"/>
    <w:basedOn w:val="List"/>
    <w:rsid w:val="00197EAF"/>
    <w:pPr>
      <w:ind w:firstLine="0"/>
    </w:pPr>
  </w:style>
  <w:style w:type="paragraph" w:customStyle="1" w:styleId="ListNote">
    <w:name w:val="List Note"/>
    <w:basedOn w:val="List"/>
    <w:rsid w:val="00197EAF"/>
    <w:pPr>
      <w:pBdr>
        <w:top w:val="single" w:sz="6" w:space="2" w:color="918585"/>
        <w:bottom w:val="single" w:sz="6" w:space="2" w:color="918585"/>
      </w:pBdr>
      <w:tabs>
        <w:tab w:val="left" w:pos="1021"/>
      </w:tabs>
      <w:ind w:firstLine="0"/>
    </w:pPr>
  </w:style>
  <w:style w:type="paragraph" w:customStyle="1" w:styleId="Warning">
    <w:name w:val="Warning"/>
    <w:basedOn w:val="BodyText"/>
    <w:rsid w:val="00197EAF"/>
    <w:pPr>
      <w:shd w:val="clear" w:color="auto" w:fill="D9D9D9"/>
      <w:tabs>
        <w:tab w:val="left" w:pos="992"/>
      </w:tabs>
      <w:ind w:left="119" w:right="119"/>
    </w:pPr>
    <w:rPr>
      <w:sz w:val="20"/>
    </w:rPr>
  </w:style>
  <w:style w:type="paragraph" w:customStyle="1" w:styleId="MarginIcons">
    <w:name w:val="Margin Icons"/>
    <w:basedOn w:val="BodyText"/>
    <w:rsid w:val="00197EA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97EAF"/>
    <w:rPr>
      <w:rFonts w:ascii="Courier New" w:hAnsi="Courier New"/>
    </w:rPr>
  </w:style>
  <w:style w:type="paragraph" w:customStyle="1" w:styleId="NoteBullet">
    <w:name w:val="Note Bullet"/>
    <w:basedOn w:val="Note"/>
    <w:rsid w:val="00197EAF"/>
    <w:pPr>
      <w:tabs>
        <w:tab w:val="clear" w:pos="680"/>
      </w:tabs>
      <w:spacing w:before="60" w:after="60"/>
    </w:pPr>
  </w:style>
  <w:style w:type="paragraph" w:customStyle="1" w:styleId="SubHeading2">
    <w:name w:val="SubHeading2"/>
    <w:basedOn w:val="HeadingBase"/>
    <w:rsid w:val="00197EAF"/>
    <w:pPr>
      <w:spacing w:before="240" w:after="60"/>
    </w:pPr>
    <w:rPr>
      <w:sz w:val="20"/>
    </w:rPr>
  </w:style>
  <w:style w:type="paragraph" w:customStyle="1" w:styleId="SubHeading1">
    <w:name w:val="SubHeading1"/>
    <w:basedOn w:val="HeadingBase"/>
    <w:rsid w:val="00197EAF"/>
    <w:pPr>
      <w:spacing w:before="240" w:after="60"/>
    </w:pPr>
    <w:rPr>
      <w:color w:val="918585"/>
      <w:sz w:val="22"/>
    </w:rPr>
  </w:style>
  <w:style w:type="paragraph" w:customStyle="1" w:styleId="SideHeading">
    <w:name w:val="Side Heading"/>
    <w:basedOn w:val="HeadingBase"/>
    <w:rsid w:val="00197EA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97EAF"/>
    <w:pPr>
      <w:tabs>
        <w:tab w:val="num" w:pos="360"/>
      </w:tabs>
    </w:pPr>
  </w:style>
  <w:style w:type="paragraph" w:styleId="PlainText">
    <w:name w:val="Plain Text"/>
    <w:basedOn w:val="Normal"/>
    <w:link w:val="PlainTextChar"/>
    <w:rsid w:val="00197EAF"/>
    <w:rPr>
      <w:sz w:val="20"/>
    </w:rPr>
  </w:style>
  <w:style w:type="character" w:customStyle="1" w:styleId="PlainTextChar">
    <w:name w:val="Plain Text Char"/>
    <w:basedOn w:val="DefaultParagraphFont"/>
    <w:link w:val="PlainText"/>
    <w:rsid w:val="00197EAF"/>
    <w:rPr>
      <w:rFonts w:ascii="Courier New" w:eastAsia="Times New Roman" w:hAnsi="Courier New" w:cs="Times New Roman"/>
      <w:sz w:val="20"/>
      <w:szCs w:val="20"/>
      <w:lang w:eastAsia="en-US"/>
    </w:rPr>
  </w:style>
  <w:style w:type="character" w:customStyle="1" w:styleId="MenuOption">
    <w:name w:val="Menu Option"/>
    <w:basedOn w:val="DefaultParagraphFont"/>
    <w:rsid w:val="00197EAF"/>
    <w:rPr>
      <w:b/>
      <w:smallCaps/>
    </w:rPr>
  </w:style>
  <w:style w:type="paragraph" w:customStyle="1" w:styleId="TableListNumber">
    <w:name w:val="Table List Number"/>
    <w:basedOn w:val="ListNumber"/>
    <w:rsid w:val="00197EAF"/>
    <w:pPr>
      <w:numPr>
        <w:numId w:val="0"/>
      </w:numPr>
    </w:pPr>
  </w:style>
  <w:style w:type="paragraph" w:styleId="TOC4">
    <w:name w:val="toc 4"/>
    <w:basedOn w:val="TOCBase"/>
    <w:next w:val="Normal"/>
    <w:semiHidden/>
    <w:rsid w:val="00197EAF"/>
    <w:pPr>
      <w:tabs>
        <w:tab w:val="right" w:leader="dot" w:pos="9071"/>
      </w:tabs>
      <w:ind w:left="1701"/>
    </w:pPr>
  </w:style>
  <w:style w:type="paragraph" w:customStyle="1" w:styleId="ListAlpha">
    <w:name w:val="List Alpha"/>
    <w:basedOn w:val="List"/>
    <w:rsid w:val="00197EAF"/>
    <w:pPr>
      <w:numPr>
        <w:numId w:val="9"/>
      </w:numPr>
    </w:pPr>
  </w:style>
  <w:style w:type="paragraph" w:customStyle="1" w:styleId="ListAlpha2">
    <w:name w:val="List Alpha 2"/>
    <w:basedOn w:val="List2"/>
    <w:rsid w:val="00197EAF"/>
    <w:pPr>
      <w:numPr>
        <w:numId w:val="8"/>
      </w:numPr>
    </w:pPr>
  </w:style>
  <w:style w:type="paragraph" w:styleId="List2">
    <w:name w:val="List 2"/>
    <w:basedOn w:val="BodyText"/>
    <w:rsid w:val="00197EAF"/>
    <w:pPr>
      <w:tabs>
        <w:tab w:val="left" w:pos="680"/>
      </w:tabs>
      <w:spacing w:before="60" w:after="60"/>
      <w:ind w:left="680" w:hanging="340"/>
    </w:pPr>
  </w:style>
  <w:style w:type="paragraph" w:styleId="List3">
    <w:name w:val="List 3"/>
    <w:basedOn w:val="BodyText"/>
    <w:rsid w:val="00197EAF"/>
    <w:pPr>
      <w:tabs>
        <w:tab w:val="left" w:pos="1021"/>
      </w:tabs>
      <w:spacing w:before="60" w:after="60"/>
      <w:ind w:left="1020" w:hanging="340"/>
    </w:pPr>
  </w:style>
  <w:style w:type="paragraph" w:styleId="List4">
    <w:name w:val="List 4"/>
    <w:basedOn w:val="BodyText"/>
    <w:rsid w:val="00197EAF"/>
    <w:pPr>
      <w:tabs>
        <w:tab w:val="left" w:pos="1361"/>
      </w:tabs>
      <w:spacing w:before="60" w:after="60"/>
      <w:ind w:left="1361" w:hanging="340"/>
    </w:pPr>
  </w:style>
  <w:style w:type="paragraph" w:styleId="List5">
    <w:name w:val="List 5"/>
    <w:basedOn w:val="BodyText"/>
    <w:rsid w:val="00197EAF"/>
    <w:pPr>
      <w:tabs>
        <w:tab w:val="left" w:pos="1701"/>
      </w:tabs>
      <w:spacing w:before="60" w:after="60"/>
      <w:ind w:left="1701" w:hanging="340"/>
    </w:pPr>
  </w:style>
  <w:style w:type="paragraph" w:styleId="ListBullet3">
    <w:name w:val="List Bullet 3"/>
    <w:basedOn w:val="List3"/>
    <w:rsid w:val="00197EAF"/>
    <w:pPr>
      <w:numPr>
        <w:numId w:val="14"/>
      </w:numPr>
      <w:tabs>
        <w:tab w:val="clear" w:pos="1021"/>
      </w:tabs>
      <w:ind w:left="1037" w:hanging="357"/>
    </w:pPr>
  </w:style>
  <w:style w:type="paragraph" w:styleId="ListBullet4">
    <w:name w:val="List Bullet 4"/>
    <w:basedOn w:val="List4"/>
    <w:rsid w:val="00197EAF"/>
    <w:pPr>
      <w:numPr>
        <w:numId w:val="3"/>
      </w:numPr>
      <w:tabs>
        <w:tab w:val="clear" w:pos="1361"/>
      </w:tabs>
    </w:pPr>
  </w:style>
  <w:style w:type="paragraph" w:styleId="ListBullet5">
    <w:name w:val="List Bullet 5"/>
    <w:basedOn w:val="List5"/>
    <w:rsid w:val="00197EAF"/>
    <w:pPr>
      <w:numPr>
        <w:numId w:val="4"/>
      </w:numPr>
    </w:pPr>
  </w:style>
  <w:style w:type="paragraph" w:styleId="ListContinue2">
    <w:name w:val="List Continue 2"/>
    <w:basedOn w:val="List2"/>
    <w:rsid w:val="00197EAF"/>
    <w:pPr>
      <w:ind w:firstLine="0"/>
    </w:pPr>
  </w:style>
  <w:style w:type="paragraph" w:styleId="ListContinue3">
    <w:name w:val="List Continue 3"/>
    <w:basedOn w:val="List3"/>
    <w:rsid w:val="00197EAF"/>
    <w:pPr>
      <w:ind w:left="1021" w:firstLine="0"/>
    </w:pPr>
  </w:style>
  <w:style w:type="paragraph" w:styleId="ListContinue4">
    <w:name w:val="List Continue 4"/>
    <w:basedOn w:val="List4"/>
    <w:rsid w:val="00197EAF"/>
    <w:pPr>
      <w:ind w:firstLine="0"/>
    </w:pPr>
  </w:style>
  <w:style w:type="paragraph" w:styleId="ListContinue5">
    <w:name w:val="List Continue 5"/>
    <w:basedOn w:val="List5"/>
    <w:rsid w:val="00197EAF"/>
    <w:pPr>
      <w:ind w:firstLine="0"/>
    </w:pPr>
  </w:style>
  <w:style w:type="paragraph" w:styleId="ListNumber3">
    <w:name w:val="List Number 3"/>
    <w:basedOn w:val="List3"/>
    <w:rsid w:val="00197EAF"/>
    <w:pPr>
      <w:numPr>
        <w:numId w:val="5"/>
      </w:numPr>
    </w:pPr>
  </w:style>
  <w:style w:type="paragraph" w:styleId="ListNumber4">
    <w:name w:val="List Number 4"/>
    <w:basedOn w:val="List4"/>
    <w:rsid w:val="00197EAF"/>
    <w:pPr>
      <w:numPr>
        <w:numId w:val="6"/>
      </w:numPr>
    </w:pPr>
  </w:style>
  <w:style w:type="paragraph" w:styleId="ListNumber5">
    <w:name w:val="List Number 5"/>
    <w:basedOn w:val="List5"/>
    <w:rsid w:val="00197EAF"/>
    <w:pPr>
      <w:numPr>
        <w:numId w:val="7"/>
      </w:numPr>
    </w:pPr>
  </w:style>
  <w:style w:type="paragraph" w:styleId="BlockText">
    <w:name w:val="Block Text"/>
    <w:basedOn w:val="Normal"/>
    <w:rsid w:val="00197EAF"/>
    <w:pPr>
      <w:spacing w:after="120"/>
      <w:ind w:left="1440" w:right="1440"/>
    </w:pPr>
  </w:style>
  <w:style w:type="character" w:customStyle="1" w:styleId="Subscript">
    <w:name w:val="Subscript"/>
    <w:basedOn w:val="DefaultParagraphFont"/>
    <w:rsid w:val="00197EAF"/>
    <w:rPr>
      <w:sz w:val="16"/>
      <w:vertAlign w:val="subscript"/>
    </w:rPr>
  </w:style>
  <w:style w:type="character" w:customStyle="1" w:styleId="Superscript">
    <w:name w:val="Superscript"/>
    <w:basedOn w:val="DefaultParagraphFont"/>
    <w:rsid w:val="00197EAF"/>
    <w:rPr>
      <w:sz w:val="16"/>
      <w:vertAlign w:val="superscript"/>
    </w:rPr>
  </w:style>
  <w:style w:type="character" w:customStyle="1" w:styleId="Symbols">
    <w:name w:val="Symbols"/>
    <w:basedOn w:val="DefaultParagraphFont"/>
    <w:rsid w:val="00197EAF"/>
    <w:rPr>
      <w:rFonts w:ascii="Symbol" w:hAnsi="Symbol"/>
    </w:rPr>
  </w:style>
  <w:style w:type="character" w:customStyle="1" w:styleId="MenuOptions">
    <w:name w:val="Menu Options"/>
    <w:basedOn w:val="DefaultParagraphFont"/>
    <w:rsid w:val="00197EAF"/>
    <w:rPr>
      <w:rFonts w:ascii="Arial Narrow" w:hAnsi="Arial Narrow"/>
      <w:smallCaps/>
    </w:rPr>
  </w:style>
  <w:style w:type="character" w:customStyle="1" w:styleId="Buttons">
    <w:name w:val="Buttons"/>
    <w:basedOn w:val="DefaultParagraphFont"/>
    <w:rsid w:val="00197EAF"/>
    <w:rPr>
      <w:b/>
    </w:rPr>
  </w:style>
  <w:style w:type="character" w:customStyle="1" w:styleId="Underlined">
    <w:name w:val="Underlined"/>
    <w:basedOn w:val="DefaultParagraphFont"/>
    <w:rsid w:val="00197EAF"/>
    <w:rPr>
      <w:u w:val="single"/>
    </w:rPr>
  </w:style>
  <w:style w:type="paragraph" w:customStyle="1" w:styleId="TableBodyTextRight">
    <w:name w:val="Table Body Text Right"/>
    <w:basedOn w:val="TableBodyText"/>
    <w:rsid w:val="00197EAF"/>
    <w:pPr>
      <w:widowControl w:val="0"/>
      <w:autoSpaceDE w:val="0"/>
      <w:autoSpaceDN w:val="0"/>
      <w:adjustRightInd w:val="0"/>
      <w:jc w:val="right"/>
    </w:pPr>
    <w:rPr>
      <w:rFonts w:cs="Arial"/>
      <w:szCs w:val="18"/>
    </w:rPr>
  </w:style>
  <w:style w:type="paragraph" w:customStyle="1" w:styleId="CopyrightText">
    <w:name w:val="Copyright Text"/>
    <w:basedOn w:val="BodyText"/>
    <w:rsid w:val="00197EAF"/>
    <w:rPr>
      <w:sz w:val="18"/>
    </w:rPr>
  </w:style>
  <w:style w:type="paragraph" w:customStyle="1" w:styleId="BodySmallRight">
    <w:name w:val="Body Small Right"/>
    <w:basedOn w:val="BodyTextRight"/>
    <w:rsid w:val="00197EAF"/>
    <w:rPr>
      <w:sz w:val="18"/>
      <w:szCs w:val="18"/>
    </w:rPr>
  </w:style>
  <w:style w:type="paragraph" w:customStyle="1" w:styleId="MarginEdition">
    <w:name w:val="Margin Edition"/>
    <w:basedOn w:val="MarginNote"/>
    <w:rsid w:val="00197EAF"/>
    <w:pPr>
      <w:spacing w:before="0" w:after="0"/>
    </w:pPr>
    <w:rPr>
      <w:rFonts w:ascii="Times New Roman" w:hAnsi="Times New Roman"/>
      <w:color w:val="999999"/>
    </w:rPr>
  </w:style>
  <w:style w:type="paragraph" w:customStyle="1" w:styleId="Spacer">
    <w:name w:val="Spacer"/>
    <w:basedOn w:val="Normal"/>
    <w:rsid w:val="00197EAF"/>
    <w:rPr>
      <w:sz w:val="2"/>
      <w:szCs w:val="2"/>
    </w:rPr>
  </w:style>
  <w:style w:type="character" w:customStyle="1" w:styleId="Small">
    <w:name w:val="Small"/>
    <w:basedOn w:val="DefaultParagraphFont"/>
    <w:rsid w:val="00197EAF"/>
    <w:rPr>
      <w:sz w:val="16"/>
    </w:rPr>
  </w:style>
  <w:style w:type="paragraph" w:customStyle="1" w:styleId="WideTable">
    <w:name w:val="Wide Table"/>
    <w:basedOn w:val="Normal"/>
    <w:rsid w:val="00197EAF"/>
    <w:pPr>
      <w:ind w:left="-1418"/>
    </w:pPr>
    <w:rPr>
      <w:sz w:val="2"/>
      <w:szCs w:val="2"/>
    </w:rPr>
  </w:style>
  <w:style w:type="character" w:styleId="PageNumber">
    <w:name w:val="page number"/>
    <w:basedOn w:val="DefaultParagraphFont"/>
    <w:rsid w:val="00197EAF"/>
  </w:style>
  <w:style w:type="paragraph" w:styleId="Quote">
    <w:name w:val="Quote"/>
    <w:basedOn w:val="Heading1"/>
    <w:link w:val="QuoteChar"/>
    <w:qFormat/>
    <w:rsid w:val="00197EAF"/>
    <w:rPr>
      <w:b w:val="0"/>
      <w:sz w:val="72"/>
      <w:szCs w:val="72"/>
      <w:lang w:val="en-NZ"/>
    </w:rPr>
  </w:style>
  <w:style w:type="character" w:customStyle="1" w:styleId="QuoteChar">
    <w:name w:val="Quote Char"/>
    <w:basedOn w:val="DefaultParagraphFont"/>
    <w:link w:val="Quote"/>
    <w:rsid w:val="00197EA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97EAF"/>
    <w:pPr>
      <w:pageBreakBefore/>
    </w:pPr>
  </w:style>
  <w:style w:type="paragraph" w:customStyle="1" w:styleId="Border">
    <w:name w:val="Border"/>
    <w:basedOn w:val="Normal"/>
    <w:qFormat/>
    <w:rsid w:val="00197EA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97EAF"/>
    <w:rPr>
      <w:b/>
      <w:bCs/>
      <w:i/>
      <w:iCs/>
      <w:color w:val="auto"/>
    </w:rPr>
  </w:style>
  <w:style w:type="paragraph" w:styleId="IntenseQuote">
    <w:name w:val="Intense Quote"/>
    <w:basedOn w:val="Normal"/>
    <w:next w:val="Normal"/>
    <w:link w:val="IntenseQuoteChar"/>
    <w:uiPriority w:val="30"/>
    <w:qFormat/>
    <w:rsid w:val="00197EA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97EA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97EAF"/>
    <w:rPr>
      <w:smallCaps/>
      <w:color w:val="auto"/>
      <w:u w:val="single"/>
    </w:rPr>
  </w:style>
  <w:style w:type="character" w:styleId="IntenseReference">
    <w:name w:val="Intense Reference"/>
    <w:basedOn w:val="DefaultParagraphFont"/>
    <w:uiPriority w:val="32"/>
    <w:qFormat/>
    <w:rsid w:val="00197EAF"/>
    <w:rPr>
      <w:b/>
      <w:bCs/>
      <w:smallCaps/>
      <w:color w:val="auto"/>
      <w:spacing w:val="5"/>
      <w:u w:val="single"/>
    </w:rPr>
  </w:style>
  <w:style w:type="paragraph" w:customStyle="1" w:styleId="2ColumnHeading">
    <w:name w:val="2Column Heading"/>
    <w:basedOn w:val="BodyText"/>
    <w:qFormat/>
    <w:rsid w:val="00197EAF"/>
    <w:pPr>
      <w:spacing w:after="60"/>
      <w:ind w:left="-2268"/>
    </w:pPr>
    <w:rPr>
      <w:b/>
    </w:rPr>
  </w:style>
  <w:style w:type="paragraph" w:customStyle="1" w:styleId="Heading1TOC">
    <w:name w:val="Heading1 TOC"/>
    <w:basedOn w:val="Normal"/>
    <w:qFormat/>
    <w:rsid w:val="00197EAF"/>
    <w:pPr>
      <w:spacing w:before="240" w:after="120"/>
    </w:pPr>
    <w:rPr>
      <w:rFonts w:ascii="Times New Roman" w:hAnsi="Times New Roman"/>
      <w:b/>
      <w:sz w:val="32"/>
    </w:rPr>
  </w:style>
  <w:style w:type="paragraph" w:customStyle="1" w:styleId="Heading2TOC">
    <w:name w:val="Heading2 TOC"/>
    <w:basedOn w:val="Normal"/>
    <w:qFormat/>
    <w:rsid w:val="00197EAF"/>
    <w:pPr>
      <w:spacing w:before="240" w:after="60"/>
    </w:pPr>
    <w:rPr>
      <w:rFonts w:ascii="Times New Roman" w:hAnsi="Times New Roman"/>
      <w:b/>
      <w:sz w:val="28"/>
    </w:rPr>
  </w:style>
  <w:style w:type="character" w:customStyle="1" w:styleId="Underline">
    <w:name w:val="Underline"/>
    <w:basedOn w:val="DefaultParagraphFont"/>
    <w:qFormat/>
    <w:rsid w:val="00197EAF"/>
    <w:rPr>
      <w:u w:val="single"/>
    </w:rPr>
  </w:style>
  <w:style w:type="character" w:customStyle="1" w:styleId="BoldandItalics">
    <w:name w:val="Bold and Italics"/>
    <w:qFormat/>
    <w:rsid w:val="00197EAF"/>
    <w:rPr>
      <w:b/>
      <w:i/>
      <w:u w:val="none"/>
    </w:rPr>
  </w:style>
  <w:style w:type="paragraph" w:styleId="BalloonText">
    <w:name w:val="Balloon Text"/>
    <w:basedOn w:val="Normal"/>
    <w:link w:val="BalloonTextChar"/>
    <w:rsid w:val="00197EAF"/>
    <w:rPr>
      <w:rFonts w:ascii="Tahoma" w:hAnsi="Tahoma" w:cs="Tahoma"/>
      <w:sz w:val="16"/>
      <w:szCs w:val="16"/>
    </w:rPr>
  </w:style>
  <w:style w:type="character" w:customStyle="1" w:styleId="BalloonTextChar">
    <w:name w:val="Balloon Text Char"/>
    <w:basedOn w:val="DefaultParagraphFont"/>
    <w:link w:val="BalloonText"/>
    <w:rsid w:val="00197EA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97EA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97EA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97EAF"/>
    <w:rPr>
      <w:b/>
      <w:color w:val="660033"/>
      <w:spacing w:val="0"/>
    </w:rPr>
  </w:style>
  <w:style w:type="paragraph" w:customStyle="1" w:styleId="Nameditemlist">
    <w:name w:val="Named item list"/>
    <w:basedOn w:val="BodyText"/>
    <w:qFormat/>
    <w:rsid w:val="00197EAF"/>
    <w:pPr>
      <w:tabs>
        <w:tab w:val="left" w:pos="2835"/>
      </w:tabs>
      <w:ind w:left="2835" w:hanging="2835"/>
    </w:pPr>
  </w:style>
  <w:style w:type="paragraph" w:customStyle="1" w:styleId="BodyTextnopadding">
    <w:name w:val="Body Text no padding"/>
    <w:basedOn w:val="BodyText"/>
    <w:qFormat/>
    <w:rsid w:val="00197EAF"/>
    <w:pPr>
      <w:spacing w:before="0" w:after="0"/>
    </w:pPr>
  </w:style>
  <w:style w:type="paragraph" w:customStyle="1" w:styleId="BodyTextBold">
    <w:name w:val="Body Text Bold"/>
    <w:basedOn w:val="BodyText"/>
    <w:qFormat/>
    <w:rsid w:val="00197EAF"/>
    <w:rPr>
      <w:b/>
    </w:rPr>
  </w:style>
  <w:style w:type="character" w:styleId="Hyperlink">
    <w:name w:val="Hyperlink"/>
    <w:basedOn w:val="DefaultParagraphFont"/>
    <w:uiPriority w:val="99"/>
    <w:unhideWhenUsed/>
    <w:rsid w:val="000D3B8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2203</Words>
  <Characters>14721</Characters>
  <Application>Microsoft Office Word</Application>
  <DocSecurity>0</DocSecurity>
  <Lines>432</Lines>
  <Paragraphs>296</Paragraphs>
  <ScaleCrop>false</ScaleCrop>
  <Company>Author-it Software Corporation Ltd.</Company>
  <LinksUpToDate>false</LinksUpToDate>
  <CharactersWithSpaces>16628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UETTDRIS44 Perform HV field switching operation to a given schedule</dc:title>
  <dc:subject>Approved</dc:subject>
  <dc:creator>Powering Skills Organisation</dc:creator>
  <cp:keywords>Release: 1</cp:keywords>
  <dc:description>Review Date: 12 April 2008</dc:description>
  <cp:lastModifiedBy>HSD_TPCMSd.prod</cp:lastModifiedBy>
  <cp:revision>3</cp:revision>
  <dcterms:created xsi:type="dcterms:W3CDTF">2025-03-01T14:28:00Z</dcterms:created>
  <dcterms:modified xsi:type="dcterms:W3CDTF">2025-03-01T14:28:00Z</dcterms:modified>
</cp:coreProperties>
</file>