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B3C" w:rsidP="006C0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UETTDRIS42 Maintain network infrastructure electrical equipment</w:t>
      </w:r>
      <w:r>
        <w:fldChar w:fldCharType="end"/>
      </w:r>
    </w:p>
    <w:p w:rsidR="006C0B3C" w:rsidP="006C0B3C">
      <w:pPr>
        <w:pStyle w:val="Version"/>
        <w:sectPr w:rsidSect="00322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DE1" w:rsidP="00322DE1">
      <w:pPr>
        <w:pStyle w:val="SuperHeading"/>
      </w:pPr>
      <w:r w:rsidRPr="00322DE1">
        <w:t>Assessment Requirements for UETTDRIS42 Maintain network infrastructure electrical equipment</w:t>
      </w:r>
    </w:p>
    <w:p w:rsidR="00000000" w:rsidRPr="00322DE1" w:rsidP="00322DE1">
      <w:pPr>
        <w:pStyle w:val="Heading1"/>
      </w:pPr>
      <w:bookmarkStart w:id="1" w:name="O_1003222"/>
      <w:bookmarkEnd w:id="1"/>
      <w:r w:rsidRPr="00322D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DE1" w:rsidP="00322DE1">
            <w:pPr>
              <w:pStyle w:val="BodyText"/>
            </w:pPr>
            <w:r w:rsidRPr="00322DE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322DE1" w:rsidP="00322DE1">
      <w:pPr>
        <w:pStyle w:val="NoPaddingFontSize1"/>
      </w:pPr>
    </w:p>
    <w:p w:rsidR="00000000" w:rsidRPr="00322DE1" w:rsidP="00322DE1">
      <w:pPr>
        <w:pStyle w:val="AllowPageBreak"/>
      </w:pPr>
    </w:p>
    <w:p w:rsidR="00000000" w:rsidRPr="00322DE1" w:rsidP="00322DE1">
      <w:pPr>
        <w:pStyle w:val="Heading1"/>
      </w:pPr>
      <w:bookmarkStart w:id="2" w:name="O_1003223"/>
      <w:bookmarkEnd w:id="2"/>
      <w:r w:rsidRPr="00322D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DE1">
            <w:pPr>
              <w:pStyle w:val="BodyText"/>
              <w:rPr>
                <w:lang w:val="en-NZ"/>
              </w:rPr>
            </w:pPr>
            <w:r w:rsidRPr="00322DE1">
              <w:t>Evidence required to demonstrate competence in this unit must be relevant to a</w:t>
            </w:r>
            <w:r w:rsidRPr="00322DE1">
              <w:t xml:space="preserve">nd satisfy all of the requirements of the elements and performance criteria on at least two separate occasions and include:  </w:t>
            </w:r>
          </w:p>
        </w:tc>
      </w:tr>
      <w:tr w:rsidTr="00322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DE1" w:rsidP="00322DE1">
            <w:pPr>
              <w:pStyle w:val="ListBullet"/>
            </w:pPr>
            <w:r w:rsidRPr="00322DE1">
              <w:t>applying relevant work health and safety (WHS)/occupational health and safety (OHS) requirements, including the use of risk cont</w:t>
            </w:r>
            <w:r w:rsidRPr="00322DE1">
              <w:t xml:space="preserve">rol measures </w:t>
            </w:r>
          </w:p>
          <w:p w:rsidR="00000000" w:rsidRPr="00322DE1" w:rsidP="00322DE1">
            <w:pPr>
              <w:pStyle w:val="ListBullet"/>
            </w:pPr>
            <w:r w:rsidRPr="00322DE1">
              <w:t>applying sustainable energy principles and practices</w:t>
            </w:r>
          </w:p>
          <w:p w:rsidR="00000000" w:rsidRPr="00322DE1" w:rsidP="00322DE1">
            <w:pPr>
              <w:pStyle w:val="ListBullet"/>
            </w:pPr>
            <w:r w:rsidRPr="00322DE1">
              <w:t>performing maintenance of network infrastructure electrical equipment using at least three (3) of the following:</w:t>
            </w:r>
          </w:p>
          <w:p w:rsidR="00000000" w:rsidRPr="00322DE1" w:rsidP="00322DE1">
            <w:pPr>
              <w:pStyle w:val="ListBullet2"/>
            </w:pPr>
            <w:r w:rsidRPr="00322DE1">
              <w:t>fuse switches</w:t>
            </w:r>
          </w:p>
          <w:p w:rsidR="00000000" w:rsidRPr="00322DE1" w:rsidP="00322DE1">
            <w:pPr>
              <w:pStyle w:val="ListBullet2"/>
            </w:pPr>
            <w:r w:rsidRPr="00322DE1">
              <w:t>dropout fuses</w:t>
            </w:r>
          </w:p>
          <w:p w:rsidR="00000000" w:rsidRPr="00322DE1" w:rsidP="00322DE1">
            <w:pPr>
              <w:pStyle w:val="ListBullet2"/>
            </w:pPr>
            <w:r w:rsidRPr="00322DE1">
              <w:t>sectionalisers</w:t>
            </w:r>
          </w:p>
          <w:p w:rsidR="00000000" w:rsidRPr="00322DE1" w:rsidP="00322DE1">
            <w:pPr>
              <w:pStyle w:val="ListBullet2"/>
            </w:pPr>
            <w:r w:rsidRPr="00322DE1">
              <w:t>disconnectors</w:t>
            </w:r>
          </w:p>
          <w:p w:rsidR="00000000" w:rsidRPr="00322DE1" w:rsidP="00322DE1">
            <w:pPr>
              <w:pStyle w:val="ListBullet2"/>
            </w:pPr>
            <w:r w:rsidRPr="00322DE1">
              <w:t>links</w:t>
            </w:r>
          </w:p>
          <w:p w:rsidR="00000000" w:rsidRPr="00322DE1" w:rsidP="00322DE1">
            <w:pPr>
              <w:pStyle w:val="ListBullet2"/>
            </w:pPr>
            <w:r w:rsidRPr="00322DE1">
              <w:t>fuses</w:t>
            </w:r>
          </w:p>
          <w:p w:rsidR="00000000" w:rsidRPr="00322DE1" w:rsidP="00322DE1">
            <w:pPr>
              <w:pStyle w:val="ListBullet2"/>
            </w:pPr>
            <w:r w:rsidRPr="00322DE1">
              <w:t>surge arrestors</w:t>
            </w:r>
          </w:p>
          <w:p w:rsidR="00000000" w:rsidRPr="00322DE1" w:rsidP="00322DE1">
            <w:pPr>
              <w:pStyle w:val="ListBullet"/>
            </w:pPr>
            <w:r w:rsidRPr="00322DE1">
              <w:t>using at least one (1) of the following:</w:t>
            </w:r>
          </w:p>
          <w:p w:rsidR="00000000" w:rsidRPr="00322DE1" w:rsidP="00322DE1">
            <w:pPr>
              <w:pStyle w:val="ListBullet2"/>
            </w:pPr>
            <w:r w:rsidRPr="00322DE1">
              <w:t>reclosers</w:t>
            </w:r>
          </w:p>
          <w:p w:rsidR="00000000" w:rsidRPr="00322DE1" w:rsidP="00322DE1">
            <w:pPr>
              <w:pStyle w:val="ListBullet2"/>
            </w:pPr>
            <w:r w:rsidRPr="00322DE1">
              <w:t>gas filled switches</w:t>
            </w:r>
          </w:p>
          <w:p w:rsidR="00000000" w:rsidRPr="00322DE1" w:rsidP="00322DE1">
            <w:pPr>
              <w:pStyle w:val="ListBullet2"/>
            </w:pPr>
            <w:r w:rsidRPr="00322DE1">
              <w:t>ring main units</w:t>
            </w:r>
          </w:p>
          <w:p w:rsidR="00000000" w:rsidRPr="00322DE1" w:rsidP="00322DE1">
            <w:pPr>
              <w:pStyle w:val="ListBullet2"/>
            </w:pPr>
            <w:r w:rsidRPr="00322DE1">
              <w:t>oil filled switches</w:t>
            </w:r>
          </w:p>
          <w:p w:rsidR="00000000" w:rsidRPr="00322DE1" w:rsidP="00322DE1">
            <w:pPr>
              <w:pStyle w:val="ListBullet2"/>
            </w:pPr>
            <w:r w:rsidRPr="00322DE1">
              <w:t>air break switches</w:t>
            </w:r>
          </w:p>
          <w:p w:rsidR="00000000" w:rsidRPr="00322DE1" w:rsidP="00322DE1">
            <w:pPr>
              <w:pStyle w:val="ListBullet"/>
            </w:pPr>
            <w:r w:rsidRPr="00322DE1">
              <w:t>maintaining network infrastructure electrical equipment for at least one (1) of the following equipment types:</w:t>
            </w:r>
          </w:p>
          <w:p w:rsidR="00000000" w:rsidRPr="00322DE1" w:rsidP="00322DE1">
            <w:pPr>
              <w:pStyle w:val="ListBullet2"/>
            </w:pPr>
            <w:r w:rsidRPr="00322DE1">
              <w:t>transformers</w:t>
            </w:r>
          </w:p>
          <w:p w:rsidR="00000000" w:rsidRPr="00322DE1" w:rsidP="00322DE1">
            <w:pPr>
              <w:pStyle w:val="ListBullet2"/>
            </w:pPr>
            <w:r w:rsidRPr="00322DE1">
              <w:t>reactors</w:t>
            </w:r>
          </w:p>
          <w:p w:rsidR="00000000" w:rsidRPr="00322DE1" w:rsidP="00322DE1">
            <w:pPr>
              <w:pStyle w:val="ListBullet2"/>
            </w:pPr>
            <w:r w:rsidRPr="00322DE1">
              <w:t>regulators</w:t>
            </w:r>
          </w:p>
          <w:p w:rsidR="00000000" w:rsidRPr="00322DE1" w:rsidP="00322DE1">
            <w:pPr>
              <w:pStyle w:val="ListBullet2"/>
            </w:pPr>
            <w:r w:rsidRPr="00322DE1">
              <w:t>capacitors</w:t>
            </w:r>
          </w:p>
          <w:p w:rsidR="00000000" w:rsidRPr="00322DE1" w:rsidP="00322DE1">
            <w:pPr>
              <w:pStyle w:val="ListBullet2"/>
            </w:pPr>
            <w:r w:rsidRPr="00322DE1">
              <w:t>relays</w:t>
            </w:r>
          </w:p>
          <w:p w:rsidR="00000000" w:rsidRPr="00322DE1" w:rsidP="00322DE1">
            <w:pPr>
              <w:pStyle w:val="ListBullet2"/>
            </w:pPr>
            <w:r w:rsidRPr="00322DE1">
              <w:t>line fault indicators</w:t>
            </w:r>
          </w:p>
          <w:p w:rsidR="00000000" w:rsidRPr="00322DE1" w:rsidP="00322DE1">
            <w:pPr>
              <w:pStyle w:val="ListBullet"/>
            </w:pPr>
            <w:r w:rsidRPr="00322DE1">
              <w:t xml:space="preserve">using specialist testing equipment, including at least three (3) of the following: </w:t>
            </w:r>
          </w:p>
          <w:p w:rsidR="00000000" w:rsidRPr="00322DE1" w:rsidP="00322DE1">
            <w:pPr>
              <w:pStyle w:val="ListBullet2"/>
            </w:pPr>
            <w:r w:rsidRPr="00322DE1">
              <w:t>voltage detectors</w:t>
            </w:r>
          </w:p>
          <w:p w:rsidR="00000000" w:rsidRPr="00322DE1" w:rsidP="00322DE1">
            <w:pPr>
              <w:pStyle w:val="ListBullet2"/>
            </w:pPr>
            <w:r w:rsidRPr="00322DE1">
              <w:t>phasing equipment</w:t>
            </w:r>
          </w:p>
          <w:p w:rsidR="00000000" w:rsidRPr="00322DE1" w:rsidP="00322DE1">
            <w:pPr>
              <w:pStyle w:val="ListBullet2"/>
            </w:pPr>
            <w:r w:rsidRPr="00322DE1">
              <w:t>clip-on ammeters</w:t>
            </w:r>
          </w:p>
          <w:p w:rsidR="00000000" w:rsidRPr="00322DE1" w:rsidP="00322DE1">
            <w:pPr>
              <w:pStyle w:val="ListBullet2"/>
            </w:pPr>
            <w:r w:rsidRPr="00322DE1">
              <w:t>insulation resistance testers</w:t>
            </w:r>
          </w:p>
          <w:p w:rsidR="00000000" w:rsidRPr="00322DE1" w:rsidP="00322DE1">
            <w:pPr>
              <w:pStyle w:val="ListBullet2"/>
            </w:pPr>
            <w:r w:rsidRPr="00322DE1">
              <w:t>recording meters</w:t>
            </w:r>
          </w:p>
          <w:p w:rsidR="00000000" w:rsidRPr="00322DE1" w:rsidP="00322DE1">
            <w:pPr>
              <w:pStyle w:val="ListBullet2"/>
            </w:pPr>
            <w:r w:rsidRPr="00322DE1">
              <w:t>earth resistance testers</w:t>
            </w:r>
          </w:p>
          <w:p w:rsidR="00000000" w:rsidRPr="00322DE1" w:rsidP="00322DE1">
            <w:pPr>
              <w:pStyle w:val="ListBullet"/>
            </w:pPr>
            <w:r w:rsidRPr="00322DE1">
              <w:t>dealing with unplanned events on at least one (1) occasion.</w:t>
            </w:r>
          </w:p>
        </w:tc>
      </w:tr>
    </w:tbl>
    <w:p w:rsidR="00000000" w:rsidRPr="00322DE1" w:rsidP="00322DE1">
      <w:pPr>
        <w:pStyle w:val="NoPaddingFontSize1"/>
      </w:pPr>
    </w:p>
    <w:p w:rsidR="00000000" w:rsidRPr="00322DE1" w:rsidP="00322DE1">
      <w:pPr>
        <w:pStyle w:val="AllowPageBreak"/>
      </w:pPr>
    </w:p>
    <w:p w:rsidR="00000000" w:rsidRPr="00322DE1" w:rsidP="00322DE1">
      <w:pPr>
        <w:pStyle w:val="Heading1"/>
      </w:pPr>
      <w:bookmarkStart w:id="3" w:name="O_1003224"/>
      <w:bookmarkEnd w:id="3"/>
      <w:r w:rsidRPr="00322D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DE1">
            <w:pPr>
              <w:pStyle w:val="BodyText"/>
              <w:rPr>
                <w:lang w:val="en-NZ"/>
              </w:rPr>
            </w:pPr>
            <w:r w:rsidRPr="00322DE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22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DE1" w:rsidP="00322DE1">
            <w:pPr>
              <w:pStyle w:val="ListBullet"/>
            </w:pPr>
            <w:r w:rsidRPr="00322DE1">
              <w:t>types and function of various switchgear, such as:</w:t>
            </w:r>
          </w:p>
          <w:p w:rsidR="00000000" w:rsidRPr="00322DE1" w:rsidP="00322DE1">
            <w:pPr>
              <w:pStyle w:val="ListBullet2"/>
            </w:pPr>
            <w:r w:rsidRPr="00322DE1">
              <w:t>isolators, air-break s</w:t>
            </w:r>
            <w:r w:rsidRPr="00322DE1">
              <w:t>witches, gas-filled switches, vacuum type, links, fuses, oil disconnectors, fuse switches, circuit breakers, operating characteristics, advantages and disadvantages of different types switchgear, installation procedures, earthing, and requirements and tech</w:t>
            </w:r>
            <w:r w:rsidRPr="00322DE1">
              <w:t>niques</w:t>
            </w:r>
          </w:p>
          <w:p w:rsidR="00000000" w:rsidRPr="00322DE1" w:rsidP="00322DE1">
            <w:pPr>
              <w:pStyle w:val="ListBullet"/>
            </w:pPr>
            <w:r w:rsidRPr="00322DE1">
              <w:t>types of equipment, such as:</w:t>
            </w:r>
          </w:p>
          <w:p w:rsidR="00000000" w:rsidRPr="00322DE1" w:rsidP="00322DE1">
            <w:pPr>
              <w:pStyle w:val="ListBullet2"/>
            </w:pPr>
            <w:r w:rsidRPr="00322DE1">
              <w:t>transformers, reactors, regulators, capacitors, relays, surge arrestors, fault indicators and mobile generators</w:t>
            </w:r>
          </w:p>
          <w:p w:rsidR="00000000" w:rsidRPr="00322DE1" w:rsidP="00322DE1">
            <w:pPr>
              <w:pStyle w:val="ListBullet"/>
            </w:pPr>
            <w:r w:rsidRPr="00322DE1">
              <w:t>maintenance procedures for switchgear and equipment encompassing:</w:t>
            </w:r>
          </w:p>
          <w:p w:rsidR="00000000" w:rsidRPr="00322DE1" w:rsidP="00322DE1">
            <w:pPr>
              <w:pStyle w:val="ListBullet2"/>
            </w:pPr>
            <w:r w:rsidRPr="00322DE1">
              <w:t>diagnosing and rectifying faults according to electricity supply industry (ESI) standards and procedures</w:t>
            </w:r>
          </w:p>
          <w:p w:rsidR="00000000" w:rsidRPr="00322DE1" w:rsidP="00322DE1">
            <w:pPr>
              <w:pStyle w:val="ListBullet"/>
            </w:pPr>
            <w:r w:rsidRPr="00322DE1">
              <w:t>testing and commissioning encompassing:</w:t>
            </w:r>
          </w:p>
          <w:p w:rsidR="00000000" w:rsidRPr="00322DE1" w:rsidP="00322DE1">
            <w:pPr>
              <w:pStyle w:val="ListBullet2"/>
            </w:pPr>
            <w:r w:rsidRPr="00322DE1">
              <w:t>ESI standards and procedures.</w:t>
            </w:r>
          </w:p>
        </w:tc>
      </w:tr>
    </w:tbl>
    <w:p w:rsidR="00000000" w:rsidRPr="00322DE1" w:rsidP="00322DE1">
      <w:pPr>
        <w:pStyle w:val="NoPaddingFontSize1"/>
      </w:pPr>
    </w:p>
    <w:p w:rsidR="00000000" w:rsidRPr="00322DE1" w:rsidP="00322DE1">
      <w:pPr>
        <w:pStyle w:val="AllowPageBreak"/>
      </w:pPr>
    </w:p>
    <w:p w:rsidR="00000000" w:rsidRPr="00322DE1" w:rsidP="00322DE1">
      <w:pPr>
        <w:pStyle w:val="Heading1"/>
      </w:pPr>
      <w:bookmarkStart w:id="4" w:name="O_1003225"/>
      <w:bookmarkEnd w:id="4"/>
      <w:r w:rsidRPr="00322D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2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DE1" w:rsidP="00322DE1">
            <w:pPr>
              <w:pStyle w:val="BodyText"/>
            </w:pPr>
            <w:r w:rsidRPr="00322DE1">
              <w:t>Assessors must hold credentials specified within the Standards for Registered Training Organisations current at the time of assessment.</w:t>
            </w:r>
          </w:p>
          <w:p w:rsidR="00000000" w:rsidRPr="00322DE1" w:rsidP="00322DE1">
            <w:pPr>
              <w:pStyle w:val="BodyText"/>
            </w:pPr>
            <w:r w:rsidRPr="00322DE1">
              <w:t>Assessment must satisfy the Principles of Assessment and Rules of Evidence and all regulatory requirements included with</w:t>
            </w:r>
            <w:r w:rsidRPr="00322DE1">
              <w:t>in the Standards for Registered Training Organisations current at the time of assessment.</w:t>
            </w:r>
          </w:p>
          <w:p w:rsidR="00000000" w:rsidRPr="00322DE1" w:rsidP="00322DE1">
            <w:pPr>
              <w:pStyle w:val="BodyText"/>
            </w:pPr>
            <w:r w:rsidRPr="00322DE1">
              <w:t>Assessment must occur in workplace operational situations where it is appropriate to do so; where this is not appropriate, assessment must occur in simulated conditio</w:t>
            </w:r>
            <w:r w:rsidRPr="00322DE1">
              <w:t>ns involving realistic and authentic activities that replicate operational workplace conditions.</w:t>
            </w:r>
          </w:p>
          <w:p w:rsidR="00000000" w:rsidRPr="00322DE1" w:rsidP="00322DE1">
            <w:pPr>
              <w:pStyle w:val="BodyText"/>
            </w:pPr>
            <w:r w:rsidRPr="00322DE1">
              <w:t>Assessment processes and techniques must be appropriate to the language, literacy and numeracy requirements of the work being performed and the needs of the ca</w:t>
            </w:r>
            <w:r w:rsidRPr="00322DE1">
              <w:t>ndidate.</w:t>
            </w:r>
          </w:p>
          <w:p w:rsidR="00000000" w:rsidRPr="00322DE1" w:rsidP="00322DE1">
            <w:pPr>
              <w:pStyle w:val="BodyText"/>
            </w:pPr>
            <w:r w:rsidRPr="00322DE1">
              <w:t>Resources for assessment must include access to:</w:t>
            </w:r>
          </w:p>
          <w:p w:rsidR="00000000" w:rsidRPr="00322DE1" w:rsidP="00322DE1">
            <w:pPr>
              <w:pStyle w:val="ListBullet"/>
            </w:pPr>
            <w:r w:rsidRPr="00322DE1">
              <w:t>a range of relevant exercises, case studies and/or other simulations</w:t>
            </w:r>
          </w:p>
          <w:p w:rsidR="00000000" w:rsidRPr="00322DE1" w:rsidP="00322DE1">
            <w:pPr>
              <w:pStyle w:val="ListBullet"/>
            </w:pPr>
            <w:r w:rsidRPr="00322DE1">
              <w:t xml:space="preserve">relevant and appropriate materials, tools, facilities, equipment and personal protective </w:t>
            </w:r>
            <w:r w:rsidRPr="00322DE1">
              <w:t>equipment (PPE) currently used in indus</w:t>
            </w:r>
            <w:r w:rsidRPr="00322DE1">
              <w:t>try for maintaining network infrastructure electrical equipment</w:t>
            </w:r>
          </w:p>
          <w:p w:rsidR="00000000" w:rsidRPr="00322DE1" w:rsidP="00322DE1">
            <w:pPr>
              <w:pStyle w:val="ListBullet"/>
            </w:pPr>
            <w:r w:rsidRPr="00322DE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22DE1" w:rsidP="00322DE1">
      <w:pPr>
        <w:pStyle w:val="NoPaddingFontSize1"/>
      </w:pPr>
    </w:p>
    <w:p w:rsidR="00000000" w:rsidRPr="00322DE1" w:rsidP="00322DE1">
      <w:pPr>
        <w:pStyle w:val="AllowPageBreak"/>
      </w:pPr>
    </w:p>
    <w:p w:rsidR="00000000" w:rsidRPr="00322DE1" w:rsidP="00322DE1">
      <w:pPr>
        <w:pStyle w:val="Heading1"/>
      </w:pPr>
      <w:bookmarkStart w:id="5" w:name="O_1003228"/>
      <w:bookmarkEnd w:id="5"/>
      <w:r w:rsidRPr="00322DE1">
        <w:t>Link</w:t>
      </w:r>
      <w:r w:rsidRPr="00322DE1">
        <w:t>s</w:t>
      </w:r>
    </w:p>
    <w:p w:rsidR="00000000" w:rsidRPr="00322DE1" w:rsidP="006C0B3C">
      <w:pPr>
        <w:pStyle w:val="BodyText"/>
      </w:pPr>
      <w:r w:rsidRPr="00322DE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556B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22DE1" w:rsidP="00322DE1"/>
    <w:sectPr w:rsidSect="00322D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1" w:rsidRPr="006C0B3C" w:rsidP="006C0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B3C" w:rsidP="00322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0B3C" w:rsidP="00322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C0B3C" w:rsidP="00322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DE1" w:rsidRPr="006C0B3C" w:rsidP="006C0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B3C" w:rsidRPr="002D2AF8" w:rsidP="00322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UETTDRIS42 Maintain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C0B3C" w:rsidP="00322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723A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22B0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623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DE1"/>
  </w:style>
  <w:style w:type="character" w:customStyle="1" w:styleId="Heading1Char">
    <w:name w:val="Heading 1 Char"/>
    <w:basedOn w:val="DefaultParagraphFont"/>
    <w:link w:val="Heading1"/>
    <w:rsid w:val="00322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D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D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2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DE1"/>
    <w:rPr>
      <w:b/>
      <w:spacing w:val="0"/>
    </w:rPr>
  </w:style>
  <w:style w:type="paragraph" w:customStyle="1" w:styleId="SuperTitle">
    <w:name w:val="SuperTitle"/>
    <w:basedOn w:val="Title"/>
    <w:rsid w:val="00322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DE1"/>
    <w:rPr>
      <w:i/>
    </w:rPr>
  </w:style>
  <w:style w:type="paragraph" w:styleId="Caption">
    <w:name w:val="caption"/>
    <w:basedOn w:val="BodyText"/>
    <w:next w:val="Normal"/>
    <w:qFormat/>
    <w:rsid w:val="00322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DE1"/>
  </w:style>
  <w:style w:type="paragraph" w:styleId="TableofFigures">
    <w:name w:val="table of figures"/>
    <w:basedOn w:val="Normal"/>
    <w:next w:val="Normal"/>
    <w:semiHidden/>
    <w:rsid w:val="00322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D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DE1"/>
    <w:rPr>
      <w:rFonts w:ascii="Wingdings" w:hAnsi="Wingdings"/>
    </w:rPr>
  </w:style>
  <w:style w:type="paragraph" w:customStyle="1" w:styleId="TableHeading">
    <w:name w:val="Table Heading"/>
    <w:basedOn w:val="HeadingBase"/>
    <w:rsid w:val="00322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DE1"/>
    <w:rPr>
      <w:color w:val="0033CC"/>
      <w:u w:val="none"/>
    </w:rPr>
  </w:style>
  <w:style w:type="paragraph" w:customStyle="1" w:styleId="BodyTextRight">
    <w:name w:val="Body Text Right"/>
    <w:basedOn w:val="BodyText"/>
    <w:rsid w:val="00322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D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DE1"/>
    <w:rPr>
      <w:sz w:val="32"/>
    </w:rPr>
  </w:style>
  <w:style w:type="paragraph" w:customStyle="1" w:styleId="HeadingProcedure">
    <w:name w:val="Heading Procedure"/>
    <w:basedOn w:val="HeadingBase"/>
    <w:next w:val="Normal"/>
    <w:rsid w:val="00322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DE1"/>
    <w:pPr>
      <w:spacing w:before="60" w:after="60"/>
    </w:pPr>
  </w:style>
  <w:style w:type="paragraph" w:styleId="ListContinue">
    <w:name w:val="List Continue"/>
    <w:basedOn w:val="List"/>
    <w:rsid w:val="00322DE1"/>
    <w:pPr>
      <w:ind w:firstLine="0"/>
    </w:pPr>
  </w:style>
  <w:style w:type="paragraph" w:customStyle="1" w:styleId="ListNote">
    <w:name w:val="List Note"/>
    <w:basedOn w:val="List"/>
    <w:rsid w:val="00322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DE1"/>
    <w:rPr>
      <w:rFonts w:ascii="Courier New" w:hAnsi="Courier New"/>
    </w:rPr>
  </w:style>
  <w:style w:type="paragraph" w:customStyle="1" w:styleId="NoteBullet">
    <w:name w:val="Note Bullet"/>
    <w:basedOn w:val="Note"/>
    <w:rsid w:val="00322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D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DE1"/>
    <w:rPr>
      <w:b/>
      <w:smallCaps/>
    </w:rPr>
  </w:style>
  <w:style w:type="paragraph" w:customStyle="1" w:styleId="TableListNumber">
    <w:name w:val="Table List Number"/>
    <w:basedOn w:val="ListNumber"/>
    <w:rsid w:val="00322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DE1"/>
    <w:pPr>
      <w:numPr>
        <w:numId w:val="9"/>
      </w:numPr>
    </w:pPr>
  </w:style>
  <w:style w:type="paragraph" w:customStyle="1" w:styleId="ListAlpha2">
    <w:name w:val="List Alpha 2"/>
    <w:basedOn w:val="List2"/>
    <w:rsid w:val="00322DE1"/>
    <w:pPr>
      <w:numPr>
        <w:numId w:val="8"/>
      </w:numPr>
    </w:pPr>
  </w:style>
  <w:style w:type="paragraph" w:styleId="List2">
    <w:name w:val="List 2"/>
    <w:basedOn w:val="BodyText"/>
    <w:rsid w:val="00322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D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D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DE1"/>
    <w:pPr>
      <w:numPr>
        <w:numId w:val="4"/>
      </w:numPr>
    </w:pPr>
  </w:style>
  <w:style w:type="paragraph" w:styleId="ListContinue2">
    <w:name w:val="List Continue 2"/>
    <w:basedOn w:val="List2"/>
    <w:rsid w:val="00322DE1"/>
    <w:pPr>
      <w:ind w:firstLine="0"/>
    </w:pPr>
  </w:style>
  <w:style w:type="paragraph" w:styleId="ListContinue3">
    <w:name w:val="List Continue 3"/>
    <w:basedOn w:val="List3"/>
    <w:rsid w:val="00322DE1"/>
    <w:pPr>
      <w:ind w:left="1021" w:firstLine="0"/>
    </w:pPr>
  </w:style>
  <w:style w:type="paragraph" w:styleId="ListContinue4">
    <w:name w:val="List Continue 4"/>
    <w:basedOn w:val="List4"/>
    <w:rsid w:val="00322DE1"/>
    <w:pPr>
      <w:ind w:firstLine="0"/>
    </w:pPr>
  </w:style>
  <w:style w:type="paragraph" w:styleId="ListContinue5">
    <w:name w:val="List Continue 5"/>
    <w:basedOn w:val="List5"/>
    <w:rsid w:val="00322DE1"/>
    <w:pPr>
      <w:ind w:firstLine="0"/>
    </w:pPr>
  </w:style>
  <w:style w:type="paragraph" w:styleId="ListNumber3">
    <w:name w:val="List Number 3"/>
    <w:basedOn w:val="List3"/>
    <w:rsid w:val="00322DE1"/>
    <w:pPr>
      <w:numPr>
        <w:numId w:val="5"/>
      </w:numPr>
    </w:pPr>
  </w:style>
  <w:style w:type="paragraph" w:styleId="ListNumber4">
    <w:name w:val="List Number 4"/>
    <w:basedOn w:val="List4"/>
    <w:rsid w:val="00322DE1"/>
    <w:pPr>
      <w:numPr>
        <w:numId w:val="6"/>
      </w:numPr>
    </w:pPr>
  </w:style>
  <w:style w:type="paragraph" w:styleId="ListNumber5">
    <w:name w:val="List Number 5"/>
    <w:basedOn w:val="List5"/>
    <w:rsid w:val="00322DE1"/>
    <w:pPr>
      <w:numPr>
        <w:numId w:val="7"/>
      </w:numPr>
    </w:pPr>
  </w:style>
  <w:style w:type="paragraph" w:styleId="BlockText">
    <w:name w:val="Block Text"/>
    <w:basedOn w:val="Normal"/>
    <w:rsid w:val="00322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DE1"/>
    <w:rPr>
      <w:sz w:val="16"/>
      <w:vertAlign w:val="superscript"/>
    </w:rPr>
  </w:style>
  <w:style w:type="character" w:customStyle="1" w:styleId="Symbols">
    <w:name w:val="Symbols"/>
    <w:basedOn w:val="DefaultParagraphFont"/>
    <w:rsid w:val="00322DE1"/>
    <w:rPr>
      <w:rFonts w:ascii="Symbol" w:hAnsi="Symbol"/>
    </w:rPr>
  </w:style>
  <w:style w:type="character" w:customStyle="1" w:styleId="MenuOptions">
    <w:name w:val="Menu Options"/>
    <w:basedOn w:val="DefaultParagraphFont"/>
    <w:rsid w:val="00322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DE1"/>
    <w:rPr>
      <w:b/>
    </w:rPr>
  </w:style>
  <w:style w:type="character" w:customStyle="1" w:styleId="Underlined">
    <w:name w:val="Underlined"/>
    <w:basedOn w:val="DefaultParagraphFont"/>
    <w:rsid w:val="00322DE1"/>
    <w:rPr>
      <w:u w:val="single"/>
    </w:rPr>
  </w:style>
  <w:style w:type="paragraph" w:customStyle="1" w:styleId="TableBodyTextRight">
    <w:name w:val="Table Body Text Right"/>
    <w:basedOn w:val="TableBodyText"/>
    <w:rsid w:val="00322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DE1"/>
    <w:rPr>
      <w:sz w:val="18"/>
    </w:rPr>
  </w:style>
  <w:style w:type="paragraph" w:customStyle="1" w:styleId="BodySmallRight">
    <w:name w:val="Body Small Right"/>
    <w:basedOn w:val="BodyTextRight"/>
    <w:rsid w:val="00322DE1"/>
    <w:rPr>
      <w:sz w:val="18"/>
      <w:szCs w:val="18"/>
    </w:rPr>
  </w:style>
  <w:style w:type="paragraph" w:customStyle="1" w:styleId="MarginEdition">
    <w:name w:val="Margin Edition"/>
    <w:basedOn w:val="MarginNote"/>
    <w:rsid w:val="00322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DE1"/>
    <w:rPr>
      <w:sz w:val="2"/>
      <w:szCs w:val="2"/>
    </w:rPr>
  </w:style>
  <w:style w:type="character" w:customStyle="1" w:styleId="Small">
    <w:name w:val="Small"/>
    <w:basedOn w:val="DefaultParagraphFont"/>
    <w:rsid w:val="00322DE1"/>
    <w:rPr>
      <w:sz w:val="16"/>
    </w:rPr>
  </w:style>
  <w:style w:type="paragraph" w:customStyle="1" w:styleId="WideTable">
    <w:name w:val="Wide Table"/>
    <w:basedOn w:val="Normal"/>
    <w:rsid w:val="00322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DE1"/>
  </w:style>
  <w:style w:type="paragraph" w:styleId="Quote">
    <w:name w:val="Quote"/>
    <w:basedOn w:val="Heading1"/>
    <w:link w:val="QuoteChar"/>
    <w:qFormat/>
    <w:rsid w:val="00322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DE1"/>
    <w:pPr>
      <w:pageBreakBefore/>
    </w:pPr>
  </w:style>
  <w:style w:type="paragraph" w:customStyle="1" w:styleId="Border">
    <w:name w:val="Border"/>
    <w:basedOn w:val="Normal"/>
    <w:qFormat/>
    <w:rsid w:val="00322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DE1"/>
    <w:rPr>
      <w:u w:val="single"/>
    </w:rPr>
  </w:style>
  <w:style w:type="character" w:customStyle="1" w:styleId="BoldandItalics">
    <w:name w:val="Bold and Italics"/>
    <w:qFormat/>
    <w:rsid w:val="00322DE1"/>
    <w:rPr>
      <w:b/>
      <w:i/>
      <w:u w:val="none"/>
    </w:rPr>
  </w:style>
  <w:style w:type="paragraph" w:styleId="BalloonText">
    <w:name w:val="Balloon Text"/>
    <w:basedOn w:val="Normal"/>
    <w:link w:val="BalloonTextChar"/>
    <w:rsid w:val="00322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DE1"/>
    <w:pPr>
      <w:spacing w:before="0" w:after="0"/>
    </w:pPr>
  </w:style>
  <w:style w:type="paragraph" w:customStyle="1" w:styleId="BodyTextBold">
    <w:name w:val="Body Text Bold"/>
    <w:basedOn w:val="BodyText"/>
    <w:qFormat/>
    <w:rsid w:val="00322DE1"/>
    <w:rPr>
      <w:b/>
    </w:rPr>
  </w:style>
  <w:style w:type="character" w:styleId="Hyperlink">
    <w:name w:val="Hyperlink"/>
    <w:basedOn w:val="DefaultParagraphFont"/>
    <w:uiPriority w:val="99"/>
    <w:unhideWhenUsed/>
    <w:rsid w:val="006C0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3578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UETTDRIS42 Maintain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