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F6B" w:rsidP="00553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UETTDRIS41 Install network infrastructure electrical equipment</w:t>
      </w:r>
      <w:r>
        <w:fldChar w:fldCharType="end"/>
      </w:r>
    </w:p>
    <w:p w:rsidR="00553F6B" w:rsidP="00553F6B">
      <w:pPr>
        <w:pStyle w:val="Version"/>
        <w:sectPr w:rsidSect="00C44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982" w:rsidP="00C44982">
      <w:pPr>
        <w:pStyle w:val="SuperHeading"/>
      </w:pPr>
      <w:r w:rsidRPr="00C44982">
        <w:t>Assessment Requirements for UETTDRIS41 Install network infrastructure electrical equipment</w:t>
      </w:r>
    </w:p>
    <w:p w:rsidR="00000000" w:rsidRPr="00C44982" w:rsidP="00C44982">
      <w:pPr>
        <w:pStyle w:val="Heading1"/>
      </w:pPr>
      <w:bookmarkStart w:id="1" w:name="O_1003203"/>
      <w:bookmarkEnd w:id="1"/>
      <w:r w:rsidRPr="00C449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82" w:rsidP="00C44982">
            <w:pPr>
              <w:pStyle w:val="BodyText"/>
            </w:pPr>
            <w:r w:rsidRPr="00C4498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44982" w:rsidP="00C44982">
      <w:pPr>
        <w:pStyle w:val="NoPaddingFontSize1"/>
      </w:pPr>
    </w:p>
    <w:p w:rsidR="00000000" w:rsidRPr="00C44982" w:rsidP="00C44982">
      <w:pPr>
        <w:pStyle w:val="AllowPageBreak"/>
      </w:pPr>
    </w:p>
    <w:p w:rsidR="00000000" w:rsidRPr="00C44982" w:rsidP="00C44982">
      <w:pPr>
        <w:pStyle w:val="Heading1"/>
      </w:pPr>
      <w:bookmarkStart w:id="2" w:name="O_1003204"/>
      <w:bookmarkEnd w:id="2"/>
      <w:r w:rsidRPr="00C449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82">
            <w:pPr>
              <w:pStyle w:val="BodyText"/>
              <w:rPr>
                <w:lang w:val="en-NZ"/>
              </w:rPr>
            </w:pPr>
            <w:r w:rsidRPr="00C44982">
              <w:t>Evidence required to demonstrate competence in this unit must be relevant to a</w:t>
            </w:r>
            <w:r w:rsidRPr="00C44982">
              <w:t xml:space="preserve">nd satisfy all of the requirements of the elements and performance criteria on at least two separate occasions and include:  </w:t>
            </w:r>
          </w:p>
        </w:tc>
      </w:tr>
      <w:tr w:rsidTr="00C44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82" w:rsidP="00C44982">
            <w:pPr>
              <w:pStyle w:val="ListBullet"/>
            </w:pPr>
            <w:r w:rsidRPr="00C44982">
              <w:t>applying relevant work health and safety (WHS)/occupational health and safety (OHS) requirements, including the use of risk cont</w:t>
            </w:r>
            <w:r w:rsidRPr="00C44982">
              <w:t xml:space="preserve">rol measures </w:t>
            </w:r>
          </w:p>
          <w:p w:rsidR="00000000" w:rsidRPr="00C44982" w:rsidP="00C44982">
            <w:pPr>
              <w:pStyle w:val="ListBullet"/>
            </w:pPr>
            <w:r w:rsidRPr="00C44982">
              <w:t>applying sustainable energy principles and practices</w:t>
            </w:r>
          </w:p>
          <w:p w:rsidR="00000000" w:rsidRPr="00C44982" w:rsidP="00C44982">
            <w:pPr>
              <w:pStyle w:val="ListBullet"/>
            </w:pPr>
            <w:r w:rsidRPr="00C44982">
              <w:t>installing any three (3) of the following:</w:t>
            </w:r>
          </w:p>
          <w:p w:rsidR="00000000" w:rsidRPr="00C44982" w:rsidP="00C44982">
            <w:pPr>
              <w:pStyle w:val="ListBullet2"/>
            </w:pPr>
            <w:r w:rsidRPr="00C44982">
              <w:t>fuse switches</w:t>
            </w:r>
          </w:p>
          <w:p w:rsidR="00000000" w:rsidRPr="00C44982" w:rsidP="00C44982">
            <w:pPr>
              <w:pStyle w:val="ListBullet2"/>
            </w:pPr>
            <w:r w:rsidRPr="00C44982">
              <w:t>dropout fuses</w:t>
            </w:r>
          </w:p>
          <w:p w:rsidR="00000000" w:rsidRPr="00C44982" w:rsidP="00C44982">
            <w:pPr>
              <w:pStyle w:val="ListBullet2"/>
            </w:pPr>
            <w:r w:rsidRPr="00C44982">
              <w:t>sectionalisers</w:t>
            </w:r>
          </w:p>
          <w:p w:rsidR="00000000" w:rsidRPr="00C44982" w:rsidP="00C44982">
            <w:pPr>
              <w:pStyle w:val="ListBullet2"/>
            </w:pPr>
            <w:r w:rsidRPr="00C44982">
              <w:t>disconnectors</w:t>
            </w:r>
          </w:p>
          <w:p w:rsidR="00000000" w:rsidRPr="00C44982" w:rsidP="00C44982">
            <w:pPr>
              <w:pStyle w:val="ListBullet2"/>
            </w:pPr>
            <w:r w:rsidRPr="00C44982">
              <w:t>links</w:t>
            </w:r>
          </w:p>
          <w:p w:rsidR="00000000" w:rsidRPr="00C44982" w:rsidP="00C44982">
            <w:pPr>
              <w:pStyle w:val="ListBullet2"/>
            </w:pPr>
            <w:r w:rsidRPr="00C44982">
              <w:t>fuses</w:t>
            </w:r>
          </w:p>
          <w:p w:rsidR="00000000" w:rsidRPr="00C44982" w:rsidP="00C44982">
            <w:pPr>
              <w:pStyle w:val="ListBullet2"/>
            </w:pPr>
            <w:r w:rsidRPr="00C44982">
              <w:t>surge arrestors</w:t>
            </w:r>
          </w:p>
          <w:p w:rsidR="00000000" w:rsidRPr="00C44982" w:rsidP="00C44982">
            <w:pPr>
              <w:pStyle w:val="ListBullet"/>
            </w:pPr>
            <w:r w:rsidRPr="00C44982">
              <w:t>installing network infrastructure electrical equipment for at least one (1) of the following switchgear types:</w:t>
            </w:r>
          </w:p>
          <w:p w:rsidR="00000000" w:rsidRPr="00C44982" w:rsidP="00C44982">
            <w:pPr>
              <w:pStyle w:val="ListBullet2"/>
            </w:pPr>
            <w:r w:rsidRPr="00C44982">
              <w:t>reclosers</w:t>
            </w:r>
          </w:p>
          <w:p w:rsidR="00000000" w:rsidRPr="00C44982" w:rsidP="00C44982">
            <w:pPr>
              <w:pStyle w:val="ListBullet2"/>
            </w:pPr>
            <w:r w:rsidRPr="00C44982">
              <w:t>motorised switches</w:t>
            </w:r>
          </w:p>
          <w:p w:rsidR="00000000" w:rsidRPr="00C44982" w:rsidP="00C44982">
            <w:pPr>
              <w:pStyle w:val="ListBullet2"/>
            </w:pPr>
            <w:r w:rsidRPr="00C44982">
              <w:t>gas filled switches</w:t>
            </w:r>
          </w:p>
          <w:p w:rsidR="00000000" w:rsidRPr="00C44982" w:rsidP="00C44982">
            <w:pPr>
              <w:pStyle w:val="ListBullet2"/>
            </w:pPr>
            <w:r w:rsidRPr="00C44982">
              <w:t>ring main units</w:t>
            </w:r>
          </w:p>
          <w:p w:rsidR="00000000" w:rsidRPr="00C44982" w:rsidP="00C44982">
            <w:pPr>
              <w:pStyle w:val="ListBullet2"/>
            </w:pPr>
            <w:r w:rsidRPr="00C44982">
              <w:t>line fault indicators</w:t>
            </w:r>
          </w:p>
          <w:p w:rsidR="00000000" w:rsidRPr="00C44982" w:rsidP="00C44982">
            <w:pPr>
              <w:pStyle w:val="ListBullet2"/>
            </w:pPr>
            <w:r w:rsidRPr="00C44982">
              <w:t>oil filled switches</w:t>
            </w:r>
          </w:p>
          <w:p w:rsidR="00000000" w:rsidRPr="00C44982" w:rsidP="00C44982">
            <w:pPr>
              <w:pStyle w:val="ListBullet2"/>
            </w:pPr>
            <w:r w:rsidRPr="00C44982">
              <w:t>air break switches</w:t>
            </w:r>
          </w:p>
          <w:p w:rsidR="00000000" w:rsidRPr="00C44982" w:rsidP="00C44982">
            <w:pPr>
              <w:pStyle w:val="ListBullet"/>
            </w:pPr>
            <w:r w:rsidRPr="00C44982">
              <w:t>installing network infrastructure electrical equipment for at least one (1) of the following equipment types:</w:t>
            </w:r>
          </w:p>
          <w:p w:rsidR="00000000" w:rsidRPr="00C44982" w:rsidP="00C44982">
            <w:pPr>
              <w:pStyle w:val="ListBullet2"/>
            </w:pPr>
            <w:r w:rsidRPr="00C44982">
              <w:t>transformers</w:t>
            </w:r>
          </w:p>
          <w:p w:rsidR="00000000" w:rsidRPr="00C44982" w:rsidP="00C44982">
            <w:pPr>
              <w:pStyle w:val="ListBullet2"/>
            </w:pPr>
            <w:r w:rsidRPr="00C44982">
              <w:t>reactors</w:t>
            </w:r>
          </w:p>
          <w:p w:rsidR="00000000" w:rsidRPr="00C44982" w:rsidP="00C44982">
            <w:pPr>
              <w:pStyle w:val="ListBullet2"/>
            </w:pPr>
            <w:r w:rsidRPr="00C44982">
              <w:t>regulators</w:t>
            </w:r>
          </w:p>
          <w:p w:rsidR="00000000" w:rsidRPr="00C44982" w:rsidP="00C44982">
            <w:pPr>
              <w:pStyle w:val="ListBullet2"/>
            </w:pPr>
            <w:r w:rsidRPr="00C44982">
              <w:t>capacitors</w:t>
            </w:r>
          </w:p>
          <w:p w:rsidR="00000000" w:rsidRPr="00C44982" w:rsidP="00C44982">
            <w:pPr>
              <w:pStyle w:val="ListBullet"/>
            </w:pPr>
            <w:r w:rsidRPr="00C44982">
              <w:t>using specialist testing equipment including at least three (3) of the following:</w:t>
            </w:r>
          </w:p>
          <w:p w:rsidR="00000000" w:rsidRPr="00C44982" w:rsidP="00C44982">
            <w:pPr>
              <w:pStyle w:val="ListBullet2"/>
            </w:pPr>
            <w:r w:rsidRPr="00C44982">
              <w:t>voltage detectors</w:t>
            </w:r>
          </w:p>
          <w:p w:rsidR="00000000" w:rsidRPr="00C44982" w:rsidP="00C44982">
            <w:pPr>
              <w:pStyle w:val="ListBullet2"/>
            </w:pPr>
            <w:r w:rsidRPr="00C44982">
              <w:t>phasing equipment</w:t>
            </w:r>
          </w:p>
          <w:p w:rsidR="00000000" w:rsidRPr="00C44982" w:rsidP="00C44982">
            <w:pPr>
              <w:pStyle w:val="ListBullet2"/>
            </w:pPr>
            <w:r w:rsidRPr="00C44982">
              <w:t>clip-on ammeters</w:t>
            </w:r>
          </w:p>
          <w:p w:rsidR="00000000" w:rsidRPr="00C44982" w:rsidP="00C44982">
            <w:pPr>
              <w:pStyle w:val="ListBullet2"/>
            </w:pPr>
            <w:r w:rsidRPr="00C44982">
              <w:t>insulation resistance testers</w:t>
            </w:r>
          </w:p>
          <w:p w:rsidR="00000000" w:rsidRPr="00C44982" w:rsidP="00C44982">
            <w:pPr>
              <w:pStyle w:val="ListBullet2"/>
            </w:pPr>
            <w:r w:rsidRPr="00C44982">
              <w:t>recording meters</w:t>
            </w:r>
          </w:p>
          <w:p w:rsidR="00000000" w:rsidRPr="00C44982" w:rsidP="00C44982">
            <w:pPr>
              <w:pStyle w:val="ListBullet2"/>
            </w:pPr>
            <w:r w:rsidRPr="00C44982">
              <w:t>earth resistance tester</w:t>
            </w:r>
          </w:p>
          <w:p w:rsidR="00000000" w:rsidRPr="00C44982" w:rsidP="00C44982">
            <w:pPr>
              <w:pStyle w:val="ListBullet2"/>
            </w:pPr>
            <w:r w:rsidRPr="00C44982">
              <w:t>dealing with unplanned events on at least one (1) occasion.</w:t>
            </w:r>
          </w:p>
        </w:tc>
      </w:tr>
    </w:tbl>
    <w:p w:rsidR="00000000" w:rsidRPr="00C44982" w:rsidP="00C44982">
      <w:pPr>
        <w:pStyle w:val="NoPaddingFontSize1"/>
      </w:pPr>
    </w:p>
    <w:p w:rsidR="00000000" w:rsidRPr="00C44982" w:rsidP="00C44982">
      <w:pPr>
        <w:pStyle w:val="AllowPageBreak"/>
      </w:pPr>
    </w:p>
    <w:p w:rsidR="00000000" w:rsidRPr="00C44982" w:rsidP="00C44982">
      <w:pPr>
        <w:pStyle w:val="Heading1"/>
      </w:pPr>
      <w:bookmarkStart w:id="3" w:name="O_1003205"/>
      <w:bookmarkEnd w:id="3"/>
      <w:r w:rsidRPr="00C449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982">
            <w:pPr>
              <w:pStyle w:val="BodyText"/>
              <w:rPr>
                <w:lang w:val="en-NZ"/>
              </w:rPr>
            </w:pPr>
            <w:r w:rsidRPr="00C4498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44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82" w:rsidP="00C44982">
            <w:pPr>
              <w:pStyle w:val="ListBullet"/>
            </w:pPr>
            <w:r w:rsidRPr="00C44982">
              <w:t xml:space="preserve">relationship between the substations within an overall power system, such </w:t>
            </w:r>
            <w:r w:rsidRPr="00C44982">
              <w:t>as:</w:t>
            </w:r>
          </w:p>
          <w:p w:rsidR="00000000" w:rsidRPr="00C44982" w:rsidP="00C44982">
            <w:pPr>
              <w:pStyle w:val="ListBullet2"/>
            </w:pPr>
            <w:r w:rsidRPr="00C44982">
              <w:t>purpose, location in relation to load centres, layout of high voltage (HV) equipment within the substation and auxiliary equipment</w:t>
            </w:r>
          </w:p>
          <w:p w:rsidR="00000000" w:rsidRPr="00C44982" w:rsidP="00C44982">
            <w:pPr>
              <w:pStyle w:val="ListBullet"/>
            </w:pPr>
            <w:r w:rsidRPr="00C44982">
              <w:t>characteristics of a power transformer, such as:</w:t>
            </w:r>
          </w:p>
          <w:p w:rsidR="00000000" w:rsidRPr="00C44982" w:rsidP="00C44982">
            <w:pPr>
              <w:pStyle w:val="ListBullet2"/>
            </w:pPr>
            <w:r w:rsidRPr="00C44982">
              <w:t>basic construction of distribution transformers, operation under load/no-load conditions, types and basic operation of tap changing switches, including solid state types, efficiency and cooling</w:t>
            </w:r>
          </w:p>
          <w:p w:rsidR="00000000" w:rsidRPr="00C44982" w:rsidP="00C44982">
            <w:pPr>
              <w:pStyle w:val="ListBullet"/>
            </w:pPr>
            <w:r w:rsidRPr="00C44982">
              <w:t>auxiliary equipment used on transformers encompassing:</w:t>
            </w:r>
          </w:p>
          <w:p w:rsidR="00000000" w:rsidRPr="00C44982" w:rsidP="00C44982">
            <w:pPr>
              <w:pStyle w:val="ListBullet2"/>
            </w:pPr>
            <w:r w:rsidRPr="00C44982">
              <w:t>funct</w:t>
            </w:r>
            <w:r w:rsidRPr="00C44982">
              <w:t>ion and basic operation</w:t>
            </w:r>
          </w:p>
          <w:p w:rsidR="00000000" w:rsidRPr="00C44982" w:rsidP="00C44982">
            <w:pPr>
              <w:pStyle w:val="ListBullet"/>
            </w:pPr>
            <w:r w:rsidRPr="00C44982">
              <w:t>maintenance of a power transformer, such as</w:t>
            </w:r>
          </w:p>
          <w:p w:rsidR="00000000" w:rsidRPr="00C44982" w:rsidP="00C44982">
            <w:pPr>
              <w:pStyle w:val="ListBullet2"/>
            </w:pPr>
            <w:r w:rsidRPr="00C44982">
              <w:t>basic connections, restrictions to parallel operation, problems and remedies associated with harmonics, testing and fault-finding procedures</w:t>
            </w:r>
          </w:p>
          <w:p w:rsidR="00000000" w:rsidRPr="00C44982" w:rsidP="00C44982">
            <w:pPr>
              <w:pStyle w:val="ListBullet"/>
            </w:pPr>
            <w:r w:rsidRPr="00C44982">
              <w:t>characteristics of a reactor, including:</w:t>
            </w:r>
          </w:p>
          <w:p w:rsidR="00000000" w:rsidRPr="00C44982" w:rsidP="00C44982">
            <w:pPr>
              <w:pStyle w:val="ListBullet2"/>
            </w:pPr>
            <w:r w:rsidRPr="00C44982">
              <w:t>de</w:t>
            </w:r>
            <w:r w:rsidRPr="00C44982">
              <w:t>scription and purpose</w:t>
            </w:r>
          </w:p>
          <w:p w:rsidR="00000000" w:rsidRPr="00C44982" w:rsidP="00C44982">
            <w:pPr>
              <w:pStyle w:val="ListBullet"/>
            </w:pPr>
            <w:r w:rsidRPr="00C44982">
              <w:t>types and function of various switchgear, such as:</w:t>
            </w:r>
          </w:p>
          <w:p w:rsidR="00000000" w:rsidRPr="00C44982" w:rsidP="00C44982">
            <w:pPr>
              <w:pStyle w:val="ListBullet2"/>
            </w:pPr>
            <w:r w:rsidRPr="00C44982">
              <w:t>isolators, air-break switches, gas-filled switches, vacuum type, links, fuses, oil disconnectors, fuse switches, circuit breakers, operating characteristics, advantages and disadvan</w:t>
            </w:r>
            <w:r w:rsidRPr="00C44982">
              <w:t>tages of different types switchgear, installation procedures, earthing, and requirements and techniques</w:t>
            </w:r>
          </w:p>
          <w:p w:rsidR="00000000" w:rsidRPr="00C44982" w:rsidP="00C44982">
            <w:pPr>
              <w:pStyle w:val="ListBullet"/>
            </w:pPr>
            <w:r w:rsidRPr="00C44982">
              <w:t>types of equipment, such as:</w:t>
            </w:r>
          </w:p>
          <w:p w:rsidR="00000000" w:rsidRPr="00C44982" w:rsidP="00C44982">
            <w:pPr>
              <w:pStyle w:val="ListBullet2"/>
            </w:pPr>
            <w:r w:rsidRPr="00C44982">
              <w:t>transformers, reactors, regulators, capacitors, relays, surge arrestors, fault indicators and mobile generators</w:t>
            </w:r>
          </w:p>
          <w:p w:rsidR="00000000" w:rsidRPr="00C44982" w:rsidP="00C44982">
            <w:pPr>
              <w:pStyle w:val="ListBullet"/>
            </w:pPr>
            <w:r w:rsidRPr="00C44982">
              <w:t>installa</w:t>
            </w:r>
            <w:r w:rsidRPr="00C44982">
              <w:t>tion procedures for switchgear and equipment, including:</w:t>
            </w:r>
          </w:p>
          <w:p w:rsidR="00000000" w:rsidRPr="00C44982" w:rsidP="00C44982">
            <w:pPr>
              <w:pStyle w:val="ListBullet2"/>
            </w:pPr>
            <w:r w:rsidRPr="00C44982">
              <w:t>standards, codes, legislation, supply authority regulations and/or enterprise requirements</w:t>
            </w:r>
          </w:p>
          <w:p w:rsidR="00000000" w:rsidRPr="00C44982" w:rsidP="00C44982">
            <w:pPr>
              <w:pStyle w:val="ListBullet2"/>
            </w:pPr>
            <w:r w:rsidRPr="00C44982">
              <w:t>assembly and erecting procedures</w:t>
            </w:r>
          </w:p>
          <w:p w:rsidR="00000000" w:rsidRPr="00C44982" w:rsidP="00C44982">
            <w:pPr>
              <w:pStyle w:val="ListBullet2"/>
            </w:pPr>
            <w:r w:rsidRPr="00C44982">
              <w:t>earthing requirements and techniques</w:t>
            </w:r>
          </w:p>
          <w:p w:rsidR="00000000" w:rsidRPr="00C44982" w:rsidP="00C44982">
            <w:pPr>
              <w:pStyle w:val="ListBullet2"/>
            </w:pPr>
            <w:r w:rsidRPr="00C44982">
              <w:t>pole mounted locations</w:t>
            </w:r>
          </w:p>
          <w:p w:rsidR="00000000" w:rsidRPr="00C44982" w:rsidP="00C44982">
            <w:pPr>
              <w:pStyle w:val="ListBullet"/>
            </w:pPr>
            <w:r w:rsidRPr="00C44982">
              <w:t>testing and commissioning, including:</w:t>
            </w:r>
          </w:p>
          <w:p w:rsidR="00000000" w:rsidRPr="00C44982" w:rsidP="00C44982">
            <w:pPr>
              <w:pStyle w:val="ListBullet2"/>
            </w:pPr>
            <w:r w:rsidRPr="00C44982">
              <w:t>electricity supply industry (ESI) standards and procedures.</w:t>
            </w:r>
          </w:p>
        </w:tc>
      </w:tr>
    </w:tbl>
    <w:p w:rsidR="00000000" w:rsidRPr="00C44982" w:rsidP="00C44982">
      <w:pPr>
        <w:pStyle w:val="NoPaddingFontSize1"/>
      </w:pPr>
    </w:p>
    <w:p w:rsidR="00000000" w:rsidRPr="00C44982" w:rsidP="00C44982">
      <w:pPr>
        <w:pStyle w:val="AllowPageBreak"/>
      </w:pPr>
    </w:p>
    <w:p w:rsidR="00000000" w:rsidRPr="00C44982" w:rsidP="00C44982">
      <w:pPr>
        <w:pStyle w:val="Heading1"/>
      </w:pPr>
      <w:bookmarkStart w:id="4" w:name="O_1003206"/>
      <w:bookmarkEnd w:id="4"/>
      <w:r w:rsidRPr="00C449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982" w:rsidP="00C44982">
            <w:pPr>
              <w:pStyle w:val="BodyText"/>
            </w:pPr>
            <w:r w:rsidRPr="00C44982">
              <w:t>Assessors must hold credent</w:t>
            </w:r>
            <w:r w:rsidRPr="00C44982">
              <w:t>ials specified within the Standards for Registered Training Organisations current at the time of assessment.</w:t>
            </w:r>
          </w:p>
          <w:p w:rsidR="00000000" w:rsidRPr="00C44982" w:rsidP="00C44982">
            <w:pPr>
              <w:pStyle w:val="BodyText"/>
            </w:pPr>
            <w:r w:rsidRPr="00C44982">
              <w:t>Assessment must satisfy the Principles of Assessment and Rules of Evidence and all regulatory requirements included within the Standards for Regist</w:t>
            </w:r>
            <w:r w:rsidRPr="00C44982">
              <w:t>ered Training Organisations current at the time of assessment.</w:t>
            </w:r>
          </w:p>
          <w:p w:rsidR="00000000" w:rsidRPr="00C44982" w:rsidP="00C44982">
            <w:pPr>
              <w:pStyle w:val="BodyText"/>
            </w:pPr>
            <w:r w:rsidRPr="00C44982">
              <w:t xml:space="preserve">Assessment must occur in workplace operational situations where it is appropriate to do so; where this is not appropriate, assessment must occur in simulated conditions involving realistic and </w:t>
            </w:r>
            <w:r w:rsidRPr="00C44982">
              <w:t>authentic activities that replicate operational workplace conditions.</w:t>
            </w:r>
          </w:p>
          <w:p w:rsidR="00000000" w:rsidRPr="00C44982" w:rsidP="00C44982">
            <w:pPr>
              <w:pStyle w:val="BodyText"/>
            </w:pPr>
            <w:r w:rsidRPr="00C449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44982" w:rsidP="00C44982">
            <w:pPr>
              <w:pStyle w:val="BodyText"/>
            </w:pPr>
            <w:r w:rsidRPr="00C44982">
              <w:t>Evidence should sh</w:t>
            </w:r>
            <w:r w:rsidRPr="00C44982">
              <w:t>ow demonstrated competency working at heights, in limited spaces, with different structural/construction types and method and in a variety of environments.</w:t>
            </w:r>
          </w:p>
          <w:p w:rsidR="00000000" w:rsidRPr="00C44982" w:rsidP="00C44982">
            <w:pPr>
              <w:pStyle w:val="BodyText"/>
            </w:pPr>
            <w:r w:rsidRPr="00C44982">
              <w:t>Resources for assessment must include access to:</w:t>
            </w:r>
          </w:p>
          <w:p w:rsidR="00000000" w:rsidRPr="00C44982" w:rsidP="00C44982">
            <w:pPr>
              <w:pStyle w:val="ListBullet"/>
            </w:pPr>
            <w:r w:rsidRPr="00C44982">
              <w:t>a range of relevant exercises, case studies and/or</w:t>
            </w:r>
            <w:r w:rsidRPr="00C44982">
              <w:t xml:space="preserve"> other simulations</w:t>
            </w:r>
          </w:p>
          <w:p w:rsidR="00000000" w:rsidRPr="00C44982" w:rsidP="00C44982">
            <w:pPr>
              <w:pStyle w:val="ListBullet"/>
            </w:pPr>
            <w:r w:rsidRPr="00C44982">
              <w:t>relevant and appropriate materials, tools, facilities, equipment and personal protective equipment (PPE) currently used in industry for maintaining network infrastructure electrical equipment</w:t>
            </w:r>
          </w:p>
          <w:p w:rsidR="00000000" w:rsidRPr="00C44982" w:rsidP="00C44982">
            <w:pPr>
              <w:pStyle w:val="ListBullet"/>
            </w:pPr>
            <w:r w:rsidRPr="00C44982">
              <w:t>applicable documentation, including workplace</w:t>
            </w:r>
            <w:r w:rsidRPr="00C44982">
              <w:t xml:space="preserve"> procedures, relevant industry standards, equipment specifications, regulations, codes of practice and operation manuals.</w:t>
            </w:r>
          </w:p>
        </w:tc>
      </w:tr>
    </w:tbl>
    <w:p w:rsidR="00000000" w:rsidRPr="00C44982" w:rsidP="00C44982">
      <w:pPr>
        <w:pStyle w:val="NoPaddingFontSize1"/>
      </w:pPr>
    </w:p>
    <w:p w:rsidR="00000000" w:rsidRPr="00C44982" w:rsidP="00C44982">
      <w:pPr>
        <w:pStyle w:val="AllowPageBreak"/>
      </w:pPr>
    </w:p>
    <w:p w:rsidR="00000000" w:rsidRPr="00C44982" w:rsidP="00C44982">
      <w:pPr>
        <w:pStyle w:val="Heading1"/>
      </w:pPr>
      <w:bookmarkStart w:id="5" w:name="O_1003209"/>
      <w:bookmarkEnd w:id="5"/>
      <w:r w:rsidRPr="00C44982">
        <w:t>Links</w:t>
      </w:r>
    </w:p>
    <w:p w:rsidR="00000000" w:rsidRPr="00C44982" w:rsidP="00553F6B">
      <w:pPr>
        <w:pStyle w:val="BodyText"/>
      </w:pPr>
      <w:r w:rsidRPr="00C4498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0F6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44982" w:rsidP="00C44982"/>
    <w:sectPr w:rsidSect="00C449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2" w:rsidRPr="00553F6B" w:rsidP="00553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6B" w:rsidP="00C44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F6B" w:rsidP="00C44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3F6B" w:rsidP="00C44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982" w:rsidRPr="00553F6B" w:rsidP="00553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6B" w:rsidRPr="002D2AF8" w:rsidP="00C44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UETTDRIS41 Install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53F6B" w:rsidP="00C44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CE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EB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C8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982"/>
  </w:style>
  <w:style w:type="character" w:customStyle="1" w:styleId="Heading1Char">
    <w:name w:val="Heading 1 Char"/>
    <w:basedOn w:val="DefaultParagraphFont"/>
    <w:link w:val="Heading1"/>
    <w:rsid w:val="00C44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9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49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4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4982"/>
    <w:rPr>
      <w:b/>
      <w:spacing w:val="0"/>
    </w:rPr>
  </w:style>
  <w:style w:type="paragraph" w:customStyle="1" w:styleId="SuperTitle">
    <w:name w:val="SuperTitle"/>
    <w:basedOn w:val="Title"/>
    <w:rsid w:val="00C44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4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9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982"/>
    <w:rPr>
      <w:i/>
    </w:rPr>
  </w:style>
  <w:style w:type="paragraph" w:styleId="Caption">
    <w:name w:val="caption"/>
    <w:basedOn w:val="BodyText"/>
    <w:next w:val="Normal"/>
    <w:qFormat/>
    <w:rsid w:val="00C44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982"/>
  </w:style>
  <w:style w:type="paragraph" w:styleId="TableofFigures">
    <w:name w:val="table of figures"/>
    <w:basedOn w:val="Normal"/>
    <w:next w:val="Normal"/>
    <w:semiHidden/>
    <w:rsid w:val="00C44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9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4982"/>
    <w:rPr>
      <w:rFonts w:ascii="Wingdings" w:hAnsi="Wingdings"/>
    </w:rPr>
  </w:style>
  <w:style w:type="paragraph" w:customStyle="1" w:styleId="TableHeading">
    <w:name w:val="Table Heading"/>
    <w:basedOn w:val="HeadingBase"/>
    <w:rsid w:val="00C44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982"/>
    <w:rPr>
      <w:color w:val="0033CC"/>
      <w:u w:val="none"/>
    </w:rPr>
  </w:style>
  <w:style w:type="paragraph" w:customStyle="1" w:styleId="BodyTextRight">
    <w:name w:val="Body Text Right"/>
    <w:basedOn w:val="BodyText"/>
    <w:rsid w:val="00C44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9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982"/>
    <w:rPr>
      <w:sz w:val="32"/>
    </w:rPr>
  </w:style>
  <w:style w:type="paragraph" w:customStyle="1" w:styleId="HeadingProcedure">
    <w:name w:val="Heading Procedure"/>
    <w:basedOn w:val="HeadingBase"/>
    <w:next w:val="Normal"/>
    <w:rsid w:val="00C44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982"/>
    <w:pPr>
      <w:spacing w:before="60" w:after="60"/>
    </w:pPr>
  </w:style>
  <w:style w:type="paragraph" w:styleId="ListContinue">
    <w:name w:val="List Continue"/>
    <w:basedOn w:val="List"/>
    <w:rsid w:val="00C44982"/>
    <w:pPr>
      <w:ind w:firstLine="0"/>
    </w:pPr>
  </w:style>
  <w:style w:type="paragraph" w:customStyle="1" w:styleId="ListNote">
    <w:name w:val="List Note"/>
    <w:basedOn w:val="List"/>
    <w:rsid w:val="00C44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982"/>
    <w:rPr>
      <w:rFonts w:ascii="Courier New" w:hAnsi="Courier New"/>
    </w:rPr>
  </w:style>
  <w:style w:type="paragraph" w:customStyle="1" w:styleId="NoteBullet">
    <w:name w:val="Note Bullet"/>
    <w:basedOn w:val="Note"/>
    <w:rsid w:val="00C44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9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4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982"/>
    <w:rPr>
      <w:b/>
      <w:smallCaps/>
    </w:rPr>
  </w:style>
  <w:style w:type="paragraph" w:customStyle="1" w:styleId="TableListNumber">
    <w:name w:val="Table List Number"/>
    <w:basedOn w:val="ListNumber"/>
    <w:rsid w:val="00C44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982"/>
    <w:pPr>
      <w:numPr>
        <w:numId w:val="9"/>
      </w:numPr>
    </w:pPr>
  </w:style>
  <w:style w:type="paragraph" w:customStyle="1" w:styleId="ListAlpha2">
    <w:name w:val="List Alpha 2"/>
    <w:basedOn w:val="List2"/>
    <w:rsid w:val="00C44982"/>
    <w:pPr>
      <w:numPr>
        <w:numId w:val="8"/>
      </w:numPr>
    </w:pPr>
  </w:style>
  <w:style w:type="paragraph" w:styleId="List2">
    <w:name w:val="List 2"/>
    <w:basedOn w:val="BodyText"/>
    <w:rsid w:val="00C44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9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9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4982"/>
    <w:pPr>
      <w:numPr>
        <w:numId w:val="4"/>
      </w:numPr>
    </w:pPr>
  </w:style>
  <w:style w:type="paragraph" w:styleId="ListContinue2">
    <w:name w:val="List Continue 2"/>
    <w:basedOn w:val="List2"/>
    <w:rsid w:val="00C44982"/>
    <w:pPr>
      <w:ind w:firstLine="0"/>
    </w:pPr>
  </w:style>
  <w:style w:type="paragraph" w:styleId="ListContinue3">
    <w:name w:val="List Continue 3"/>
    <w:basedOn w:val="List3"/>
    <w:rsid w:val="00C44982"/>
    <w:pPr>
      <w:ind w:left="1021" w:firstLine="0"/>
    </w:pPr>
  </w:style>
  <w:style w:type="paragraph" w:styleId="ListContinue4">
    <w:name w:val="List Continue 4"/>
    <w:basedOn w:val="List4"/>
    <w:rsid w:val="00C44982"/>
    <w:pPr>
      <w:ind w:firstLine="0"/>
    </w:pPr>
  </w:style>
  <w:style w:type="paragraph" w:styleId="ListContinue5">
    <w:name w:val="List Continue 5"/>
    <w:basedOn w:val="List5"/>
    <w:rsid w:val="00C44982"/>
    <w:pPr>
      <w:ind w:firstLine="0"/>
    </w:pPr>
  </w:style>
  <w:style w:type="paragraph" w:styleId="ListNumber3">
    <w:name w:val="List Number 3"/>
    <w:basedOn w:val="List3"/>
    <w:rsid w:val="00C44982"/>
    <w:pPr>
      <w:numPr>
        <w:numId w:val="5"/>
      </w:numPr>
    </w:pPr>
  </w:style>
  <w:style w:type="paragraph" w:styleId="ListNumber4">
    <w:name w:val="List Number 4"/>
    <w:basedOn w:val="List4"/>
    <w:rsid w:val="00C44982"/>
    <w:pPr>
      <w:numPr>
        <w:numId w:val="6"/>
      </w:numPr>
    </w:pPr>
  </w:style>
  <w:style w:type="paragraph" w:styleId="ListNumber5">
    <w:name w:val="List Number 5"/>
    <w:basedOn w:val="List5"/>
    <w:rsid w:val="00C44982"/>
    <w:pPr>
      <w:numPr>
        <w:numId w:val="7"/>
      </w:numPr>
    </w:pPr>
  </w:style>
  <w:style w:type="paragraph" w:styleId="BlockText">
    <w:name w:val="Block Text"/>
    <w:basedOn w:val="Normal"/>
    <w:rsid w:val="00C44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982"/>
    <w:rPr>
      <w:sz w:val="16"/>
      <w:vertAlign w:val="superscript"/>
    </w:rPr>
  </w:style>
  <w:style w:type="character" w:customStyle="1" w:styleId="Symbols">
    <w:name w:val="Symbols"/>
    <w:basedOn w:val="DefaultParagraphFont"/>
    <w:rsid w:val="00C44982"/>
    <w:rPr>
      <w:rFonts w:ascii="Symbol" w:hAnsi="Symbol"/>
    </w:rPr>
  </w:style>
  <w:style w:type="character" w:customStyle="1" w:styleId="MenuOptions">
    <w:name w:val="Menu Options"/>
    <w:basedOn w:val="DefaultParagraphFont"/>
    <w:rsid w:val="00C44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982"/>
    <w:rPr>
      <w:b/>
    </w:rPr>
  </w:style>
  <w:style w:type="character" w:customStyle="1" w:styleId="Underlined">
    <w:name w:val="Underlined"/>
    <w:basedOn w:val="DefaultParagraphFont"/>
    <w:rsid w:val="00C44982"/>
    <w:rPr>
      <w:u w:val="single"/>
    </w:rPr>
  </w:style>
  <w:style w:type="paragraph" w:customStyle="1" w:styleId="TableBodyTextRight">
    <w:name w:val="Table Body Text Right"/>
    <w:basedOn w:val="TableBodyText"/>
    <w:rsid w:val="00C44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982"/>
    <w:rPr>
      <w:sz w:val="18"/>
    </w:rPr>
  </w:style>
  <w:style w:type="paragraph" w:customStyle="1" w:styleId="BodySmallRight">
    <w:name w:val="Body Small Right"/>
    <w:basedOn w:val="BodyTextRight"/>
    <w:rsid w:val="00C44982"/>
    <w:rPr>
      <w:sz w:val="18"/>
      <w:szCs w:val="18"/>
    </w:rPr>
  </w:style>
  <w:style w:type="paragraph" w:customStyle="1" w:styleId="MarginEdition">
    <w:name w:val="Margin Edition"/>
    <w:basedOn w:val="MarginNote"/>
    <w:rsid w:val="00C44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982"/>
    <w:rPr>
      <w:sz w:val="2"/>
      <w:szCs w:val="2"/>
    </w:rPr>
  </w:style>
  <w:style w:type="character" w:customStyle="1" w:styleId="Small">
    <w:name w:val="Small"/>
    <w:basedOn w:val="DefaultParagraphFont"/>
    <w:rsid w:val="00C44982"/>
    <w:rPr>
      <w:sz w:val="16"/>
    </w:rPr>
  </w:style>
  <w:style w:type="paragraph" w:customStyle="1" w:styleId="WideTable">
    <w:name w:val="Wide Table"/>
    <w:basedOn w:val="Normal"/>
    <w:rsid w:val="00C44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982"/>
  </w:style>
  <w:style w:type="paragraph" w:styleId="Quote">
    <w:name w:val="Quote"/>
    <w:basedOn w:val="Heading1"/>
    <w:link w:val="QuoteChar"/>
    <w:qFormat/>
    <w:rsid w:val="00C44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982"/>
    <w:pPr>
      <w:pageBreakBefore/>
    </w:pPr>
  </w:style>
  <w:style w:type="paragraph" w:customStyle="1" w:styleId="Border">
    <w:name w:val="Border"/>
    <w:basedOn w:val="Normal"/>
    <w:qFormat/>
    <w:rsid w:val="00C44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982"/>
    <w:rPr>
      <w:u w:val="single"/>
    </w:rPr>
  </w:style>
  <w:style w:type="character" w:customStyle="1" w:styleId="BoldandItalics">
    <w:name w:val="Bold and Italics"/>
    <w:qFormat/>
    <w:rsid w:val="00C44982"/>
    <w:rPr>
      <w:b/>
      <w:i/>
      <w:u w:val="none"/>
    </w:rPr>
  </w:style>
  <w:style w:type="paragraph" w:styleId="BalloonText">
    <w:name w:val="Balloon Text"/>
    <w:basedOn w:val="Normal"/>
    <w:link w:val="BalloonTextChar"/>
    <w:rsid w:val="00C44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982"/>
    <w:pPr>
      <w:spacing w:before="0" w:after="0"/>
    </w:pPr>
  </w:style>
  <w:style w:type="paragraph" w:customStyle="1" w:styleId="BodyTextBold">
    <w:name w:val="Body Text Bold"/>
    <w:basedOn w:val="BodyText"/>
    <w:qFormat/>
    <w:rsid w:val="00C44982"/>
    <w:rPr>
      <w:b/>
    </w:rPr>
  </w:style>
  <w:style w:type="character" w:styleId="Hyperlink">
    <w:name w:val="Hyperlink"/>
    <w:basedOn w:val="DefaultParagraphFont"/>
    <w:uiPriority w:val="99"/>
    <w:unhideWhenUsed/>
    <w:rsid w:val="00553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4517</Characters>
  <Application>Microsoft Office Word</Application>
  <DocSecurity>0</DocSecurity>
  <Lines>115</Lines>
  <Paragraphs>84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UETTDRIS41 Install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