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F07" w:rsidP="00EF2F07">
      <w:pPr>
        <w:pStyle w:val="Title"/>
      </w:pPr>
      <w:r>
        <w:fldChar w:fldCharType="begin"/>
      </w:r>
      <w:r>
        <w:instrText xml:space="preserve"> TITLE   \* MERGEFORMAT </w:instrText>
      </w:r>
      <w:r>
        <w:fldChar w:fldCharType="separate"/>
      </w:r>
      <w:r>
        <w:t>UETTDRIS38 Install and maintain public lighting systems in remote communities</w:t>
      </w:r>
      <w:r>
        <w:fldChar w:fldCharType="end"/>
      </w:r>
    </w:p>
    <w:p w:rsidR="00EF2F07" w:rsidP="00EF2F07">
      <w:pPr>
        <w:pStyle w:val="Version"/>
        <w:sectPr w:rsidSect="000B7F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F6A" w:rsidP="000B7F6A">
      <w:pPr>
        <w:pStyle w:val="SuperHeading"/>
      </w:pPr>
      <w:r w:rsidRPr="000B7F6A">
        <w:t>UETTDRIS38 Install and maintain public lighting systems in remote communities</w:t>
      </w:r>
    </w:p>
    <w:p w:rsidR="00000000" w:rsidRPr="000B7F6A" w:rsidP="000B7F6A">
      <w:pPr>
        <w:pStyle w:val="Heading1"/>
      </w:pPr>
      <w:bookmarkStart w:id="1" w:name="O_1003174"/>
      <w:bookmarkEnd w:id="1"/>
      <w:r w:rsidRPr="000B7F6A">
        <w:t>Modification History</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Release 1. This is the first release of this unit of competency in the UET Transmission, Distribution and Rail Sector Training Package.</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2" w:name="O_1003175"/>
      <w:bookmarkEnd w:id="2"/>
      <w:r w:rsidRPr="000B7F6A">
        <w:t>Application</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This unit involves the skills and knowledge required to install and maintain public lighting systems in remote communities in the electricity supply industry (ESI).</w:t>
            </w:r>
          </w:p>
          <w:p w:rsidR="00000000" w:rsidRPr="000B7F6A" w:rsidP="000B7F6A">
            <w:pPr>
              <w:pStyle w:val="BodyText"/>
            </w:pPr>
            <w:r w:rsidRPr="000B7F6A">
              <w:t>It includes completing installation and maintenance of publi</w:t>
            </w:r>
            <w:r w:rsidRPr="000B7F6A">
              <w:t>c lighting systems; inspecting, testing and commissioning of the system associated with the street lighting circuit, associated hardware and earthing system; and installing associated hardware, components, wiring and earthing system. Maintenance also inclu</w:t>
            </w:r>
            <w:r w:rsidRPr="000B7F6A">
              <w:t>des working on energised LV overhead or underground public lighting systems, including diagnosis of faults and updating relevant system data and/or public lighting maintenance records.</w:t>
            </w:r>
          </w:p>
          <w:p w:rsidR="00000000" w:rsidRPr="000B7F6A" w:rsidP="000B7F6A">
            <w:pPr>
              <w:pStyle w:val="BodyText"/>
            </w:pPr>
            <w:r w:rsidRPr="000B7F6A">
              <w:t xml:space="preserve">The application of the skills and knowledge described in this unit may </w:t>
            </w:r>
            <w:r w:rsidRPr="000B7F6A">
              <w:t>require a licence/registration to practice in the workplace.</w:t>
            </w:r>
          </w:p>
          <w:p w:rsidR="00000000" w:rsidRPr="000B7F6A" w:rsidP="000B7F6A">
            <w:pPr>
              <w:pStyle w:val="BodyText"/>
            </w:pPr>
            <w:r w:rsidRPr="000B7F6A">
              <w:t>Other conditions may apply under state and territory legislative and regulatory licensing requirements which must be confirmed prior to commencing this unit.</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3" w:name="O_1003176"/>
      <w:bookmarkEnd w:id="3"/>
      <w:r w:rsidRPr="000B7F6A">
        <w:t>Pre-requisite Un</w:t>
      </w:r>
      <w:r w:rsidRPr="000B7F6A">
        <w:t>it</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Common Unit Group</w:t>
            </w:r>
          </w:p>
          <w:p w:rsidR="00000000" w:rsidRPr="000B7F6A" w:rsidP="000B7F6A">
            <w:pPr>
              <w:pStyle w:val="BodyText"/>
            </w:pPr>
            <w:r w:rsidRPr="000B7F6A">
              <w:t>UEENEEE101A Apply Occupational Health and Safety regulations, codes and practices in the workplace</w:t>
            </w:r>
          </w:p>
          <w:p w:rsidR="00000000" w:rsidRPr="000B7F6A" w:rsidP="000B7F6A">
            <w:pPr>
              <w:pStyle w:val="BodyText"/>
            </w:pPr>
            <w:r w:rsidRPr="000B7F6A">
              <w:t>UEENEEE102A Fabricate, assemble and dismantle utilities industry components</w:t>
            </w:r>
          </w:p>
          <w:p w:rsidR="00000000" w:rsidRPr="000B7F6A" w:rsidP="000B7F6A">
            <w:pPr>
              <w:pStyle w:val="BodyText"/>
            </w:pPr>
            <w:r w:rsidRPr="000B7F6A">
              <w:t>UEENEEE103A Solve problems in ELV single path circuits</w:t>
            </w:r>
          </w:p>
          <w:p w:rsidR="00000000" w:rsidRPr="000B7F6A" w:rsidP="000B7F6A">
            <w:pPr>
              <w:pStyle w:val="BodyText"/>
            </w:pPr>
            <w:r w:rsidRPr="000B7F6A">
              <w:t>UEENE</w:t>
            </w:r>
            <w:r w:rsidRPr="000B7F6A">
              <w:t>EE105A Fix and secure electrotechnology equipment</w:t>
            </w:r>
          </w:p>
          <w:p w:rsidR="00000000" w:rsidRPr="000B7F6A" w:rsidP="000B7F6A">
            <w:pPr>
              <w:pStyle w:val="BodyText"/>
            </w:pPr>
            <w:r w:rsidRPr="000B7F6A">
              <w:t>UEENEEE107A Use drawings, diagrams, schedules, standards, codes and specifications</w:t>
            </w:r>
          </w:p>
          <w:p w:rsidR="00000000" w:rsidRPr="000B7F6A" w:rsidP="000B7F6A">
            <w:pPr>
              <w:pStyle w:val="BodyText"/>
            </w:pPr>
            <w:r w:rsidRPr="000B7F6A">
              <w:t>UEENEEE137A Document and apply measures to control OHS risks associated with electrotechnology work</w:t>
            </w:r>
          </w:p>
          <w:p w:rsidR="00000000" w:rsidRPr="000B7F6A" w:rsidP="000B7F6A">
            <w:pPr>
              <w:pStyle w:val="BodyText"/>
            </w:pPr>
            <w:r w:rsidRPr="000B7F6A">
              <w:t>UEENEEK101A Maintain safety and tidiness of remote area power supply systems</w:t>
            </w:r>
          </w:p>
          <w:p w:rsidR="00000000" w:rsidRPr="000B7F6A" w:rsidP="000B7F6A">
            <w:pPr>
              <w:pStyle w:val="BodyText"/>
            </w:pPr>
            <w:r w:rsidRPr="000B7F6A">
              <w:t>UEENEEK102A Work safely with remote area power supply systems</w:t>
            </w:r>
          </w:p>
          <w:p w:rsidR="00000000" w:rsidRPr="000B7F6A" w:rsidP="000B7F6A">
            <w:pPr>
              <w:pStyle w:val="BodyText"/>
            </w:pPr>
            <w:r w:rsidRPr="000B7F6A">
              <w:t>UEENEEK116A Maintain and repair remote area power generation facilities</w:t>
            </w:r>
          </w:p>
          <w:p w:rsidR="00000000" w:rsidRPr="000B7F6A" w:rsidP="000B7F6A">
            <w:pPr>
              <w:pStyle w:val="BodyText"/>
            </w:pPr>
            <w:r w:rsidRPr="000B7F6A">
              <w:t>UEENEEK120A Maintain operation of remote area</w:t>
            </w:r>
            <w:r w:rsidRPr="000B7F6A">
              <w:t xml:space="preserve"> power generation plant</w:t>
            </w:r>
          </w:p>
          <w:p w:rsidR="00000000" w:rsidRPr="000B7F6A" w:rsidP="000B7F6A">
            <w:pPr>
              <w:pStyle w:val="BodyText"/>
            </w:pPr>
            <w:r w:rsidRPr="000B7F6A">
              <w:t>UETTDREL11 Apply sustainable energy and environmental procedures</w:t>
            </w:r>
          </w:p>
          <w:p w:rsidR="00000000" w:rsidRPr="000B7F6A" w:rsidP="000B7F6A">
            <w:pPr>
              <w:pStyle w:val="BodyText"/>
            </w:pPr>
            <w:r w:rsidRPr="000B7F6A">
              <w:t>UETTDREL16 Working safely near live electrical apparatus</w:t>
            </w:r>
          </w:p>
          <w:p w:rsidR="00000000" w:rsidRPr="000B7F6A" w:rsidP="000B7F6A">
            <w:pPr>
              <w:pStyle w:val="BodyText"/>
            </w:pPr>
            <w:r w:rsidRPr="000B7F6A">
              <w:t>UETTDRIS32 Solve electrical problems in remote community network apparatus</w:t>
            </w:r>
          </w:p>
          <w:p w:rsidR="00000000" w:rsidRPr="000B7F6A" w:rsidP="000B7F6A">
            <w:pPr>
              <w:pStyle w:val="BodyText"/>
            </w:pPr>
            <w:r w:rsidRPr="000B7F6A">
              <w:t>UETTDRIS33 Solve electrical problem</w:t>
            </w:r>
            <w:r w:rsidRPr="000B7F6A">
              <w:t>s in remote community network systems</w:t>
            </w:r>
          </w:p>
          <w:p w:rsidR="00000000" w:rsidRPr="000B7F6A" w:rsidP="000B7F6A">
            <w:pPr>
              <w:pStyle w:val="BodyText"/>
            </w:pPr>
            <w:r w:rsidRPr="000B7F6A">
              <w:t>UETTDRIS99 Test and verify distribution remote area installations</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4" w:name="O_1003177"/>
      <w:bookmarkEnd w:id="4"/>
      <w:r w:rsidRPr="000B7F6A">
        <w:t>Competency Field</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Industry Specific Cross Discipline</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5" w:name="O_1003178"/>
      <w:bookmarkEnd w:id="5"/>
      <w:r w:rsidRPr="000B7F6A">
        <w:t>Unit Sector</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Not applicable.</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6" w:name="O_1003179"/>
      <w:bookmarkEnd w:id="6"/>
      <w:r w:rsidRPr="000B7F6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B7F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PERFORMANCE CRITERIA</w:t>
            </w:r>
          </w:p>
        </w:tc>
      </w:tr>
      <w:tr w:rsidTr="000B7F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Performance criteria describe the performance needed to demonstrate achievement of the element.</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rPr>
                <w:rStyle w:val="SpecialBold"/>
              </w:rPr>
              <w:t>Prepare for installation and maintenance of p</w:t>
            </w:r>
            <w:r w:rsidRPr="000B7F6A">
              <w:rPr>
                <w:rStyle w:val="SpecialBold"/>
              </w:rPr>
              <w:t>ublic lighting systems</w:t>
            </w: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Works schedules, construction plans, drawings, workplace procedures and material lists are received and confirmed</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Job requirements and workplace procedures are identified and communicated with relevant personnel</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Work health and safety (WHS)/occupational health and safety (OHS), environmental and workplace procedures for the installation and maintenance of public lighting systems are obtained and confirmed for the purposes of the work to be performed</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Work is</w:t>
            </w:r>
            <w:r w:rsidRPr="000B7F6A">
              <w:t xml:space="preserve"> prioritised and sequenced for completion within acceptable timeframes following consultation with relevant personnel and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Hazards are identified, WHS/OHS risks assessed and control measures identified in accor</w:t>
            </w:r>
            <w:r w:rsidRPr="000B7F6A">
              <w:t>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 xml:space="preserve">Relevant work permits are obtained, understood and </w:t>
            </w:r>
            <w:r w:rsidRPr="000B7F6A">
              <w:t>signed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Plant, equipment, tools and personal protective equipment (PPE) required for work are identified, obtained and confirmed in working order</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Worksite is prepared to minimise risk, damage to property, commerce and individuals in accordance with workplac</w:t>
            </w:r>
            <w:r w:rsidRPr="000B7F6A">
              <w:t>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Traffic management plan is confirmed as being applied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rPr>
                <w:rStyle w:val="SpecialBold"/>
              </w:rPr>
              <w:t>Carry out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WHS/OHS, sustainable energy and environmental principles and practice</w:t>
            </w:r>
            <w:r w:rsidRPr="000B7F6A">
              <w:t>s are monitored and followed to reduce incidents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Requirements for lifting and/or climbing and/or working at heights and the use of power tools/equipment are followed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Installation and maintenance of public lighting systems are performed in agreed timeframes, to quality standards and with a minimum of waste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Excavation/foundation construction is inspected and confirmed as being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Associated hardware, fittings and control gear are installed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Earthing systems and street lighting circuits are installed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Inspection of public lighting and associated hardware is conducted to determine compliance with job requirements and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Main</w:t>
            </w:r>
            <w:r w:rsidRPr="000B7F6A">
              <w:t>tenance, including repair and/or replacement of the public lighting system, is performed in accordance with jobs schedule and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Unplanned events are responded to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Quality checks of work are undertaken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rPr>
                <w:rStyle w:val="SpecialBold"/>
              </w:rPr>
              <w:t>Complete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Completed work is checked against work schedule, construction plans and drawings for compliance and anomal</w:t>
            </w:r>
            <w:r w:rsidRPr="000B7F6A">
              <w:t>ies are reported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WHS/OHS and environmental incidents are reported in accordance with workplace procedures, as required</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Worksite is rehabilitated, cleaned up and made safe in accordance with workplace pr</w:t>
            </w:r>
            <w:r w:rsidRPr="000B7F6A">
              <w:t>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Tools, equipment and surplus resources are, where appropriate, cleaned, checked and returned to storage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Relevant work permits are signed off and the public lighting system is returned to service or disposed of in accordance with workplace procedures</w:t>
            </w:r>
          </w:p>
        </w:tc>
      </w:tr>
      <w:tr w:rsidTr="000B7F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F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Work records, reports and/or documentation are completed in accordance with workplace procedures</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7" w:name="O_1003180"/>
      <w:bookmarkEnd w:id="7"/>
      <w:r w:rsidRPr="000B7F6A">
        <w:t>Foundation Skills</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Foundation skills essential to performance are explicit in the performance criteria of this unit of competency.</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8" w:name="O_1003181"/>
      <w:bookmarkEnd w:id="8"/>
      <w:r w:rsidRPr="000B7F6A">
        <w:t>Range of Conditions</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Range is restricted to essential operating conditions and any other variables essential to the work environment.</w:t>
            </w:r>
          </w:p>
          <w:p w:rsidR="00000000" w:rsidRPr="000B7F6A" w:rsidP="000B7F6A">
            <w:pPr>
              <w:pStyle w:val="BodyText"/>
            </w:pPr>
            <w:r w:rsidRPr="000B7F6A">
              <w:t>Non-essential conditions may be found in the Companion Volume Implementation Guide.</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9" w:name="O_1003182"/>
      <w:bookmarkEnd w:id="9"/>
      <w:r w:rsidRPr="000B7F6A">
        <w:t>Unit Mapping Information</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This unit rep</w:t>
            </w:r>
            <w:r w:rsidRPr="000B7F6A">
              <w:t>laces and is equivalent to UETTDRIS38A Install and maintain public lighting systems in remote communities.</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10" w:name="O_1003189"/>
      <w:bookmarkEnd w:id="10"/>
      <w:r w:rsidRPr="000B7F6A">
        <w:t>Links</w:t>
      </w:r>
    </w:p>
    <w:p w:rsidR="00000000" w:rsidRPr="000B7F6A" w:rsidP="00EF2F07">
      <w:pPr>
        <w:pStyle w:val="BodyText"/>
      </w:pPr>
      <w:r w:rsidRPr="000B7F6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31BAE">
        <w:rPr>
          <w:rStyle w:val="Hyperlink"/>
        </w:rPr>
        <w:t>https://vetnet.gov.au/Pages/TrainingDocs.aspx?q=229bace1-b7bc-4653-9300-dffb13ecfad7</w:t>
      </w:r>
      <w:r>
        <w:fldChar w:fldCharType="end"/>
      </w:r>
    </w:p>
    <w:p w:rsidR="00000000" w:rsidRPr="000B7F6A" w:rsidP="00EF2F07">
      <w:pPr>
        <w:pStyle w:val="BodyText"/>
        <w:sectPr w:rsidSect="000B7F6A">
          <w:headerReference w:type="default" r:id="rId10"/>
          <w:footerReference w:type="default" r:id="rId11"/>
          <w:pgSz w:w="11908" w:h="16833"/>
          <w:pgMar w:top="1702" w:right="1418" w:bottom="1702" w:left="1418" w:header="992" w:footer="992" w:gutter="0"/>
          <w:cols w:space="720"/>
          <w:noEndnote/>
          <w:docGrid w:linePitch="299"/>
        </w:sectPr>
      </w:pPr>
    </w:p>
    <w:p w:rsidR="00000000" w:rsidRPr="000B7F6A" w:rsidP="000B7F6A">
      <w:pPr>
        <w:pStyle w:val="SuperHeading"/>
      </w:pPr>
      <w:r w:rsidRPr="000B7F6A">
        <w:t>Assessment Requirements for UETTDRIS38 Install and maintain public lighting systems in remote communities</w:t>
      </w:r>
    </w:p>
    <w:p w:rsidR="00000000" w:rsidRPr="000B7F6A" w:rsidP="000B7F6A">
      <w:pPr>
        <w:pStyle w:val="Heading1"/>
      </w:pPr>
      <w:bookmarkStart w:id="11" w:name="O_1003184"/>
      <w:bookmarkEnd w:id="11"/>
      <w:r w:rsidRPr="000B7F6A">
        <w:t>Modification History</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Release 1. This is th</w:t>
            </w:r>
            <w:r w:rsidRPr="000B7F6A">
              <w:t>e first release of this unit of competency in the UET Transmission, Distribution and Rail Sector Training Package.</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12" w:name="O_1003185"/>
      <w:bookmarkEnd w:id="12"/>
      <w:r w:rsidRPr="000B7F6A">
        <w:t>Performance Evidence</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 xml:space="preserve">Evidence required to demonstrate competence in this unit must be relevant to and satisfy all of the requirements of the elements and performance criteria on at least two separate occasions and include:  </w:t>
            </w:r>
          </w:p>
        </w:tc>
      </w:tr>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ListBullet"/>
            </w:pPr>
            <w:r w:rsidRPr="000B7F6A">
              <w:t>applying relevant work health and safety (WHS)/occ</w:t>
            </w:r>
            <w:r w:rsidRPr="000B7F6A">
              <w:t xml:space="preserve">upational health and safety (OHS) requirements, including the use of risk control measures </w:t>
            </w:r>
          </w:p>
          <w:p w:rsidR="00000000" w:rsidRPr="000B7F6A" w:rsidP="000B7F6A">
            <w:pPr>
              <w:pStyle w:val="ListBullet"/>
            </w:pPr>
            <w:r w:rsidRPr="000B7F6A">
              <w:t>applying sustainable energy principles and practices</w:t>
            </w:r>
          </w:p>
          <w:p w:rsidR="00000000" w:rsidRPr="000B7F6A" w:rsidP="000B7F6A">
            <w:pPr>
              <w:pStyle w:val="ListBullet"/>
            </w:pPr>
            <w:r w:rsidRPr="000B7F6A">
              <w:t>installing and maintaining public lighting systems on poles/columns including at least one (1) of the following</w:t>
            </w:r>
            <w:r w:rsidRPr="000B7F6A">
              <w:t>:</w:t>
            </w:r>
          </w:p>
          <w:p w:rsidR="00000000" w:rsidRPr="000B7F6A" w:rsidP="000B7F6A">
            <w:pPr>
              <w:pStyle w:val="ListBullet2"/>
            </w:pPr>
            <w:r w:rsidRPr="000B7F6A">
              <w:t>wood</w:t>
            </w:r>
          </w:p>
          <w:p w:rsidR="00000000" w:rsidRPr="000B7F6A" w:rsidP="000B7F6A">
            <w:pPr>
              <w:pStyle w:val="ListBullet2"/>
            </w:pPr>
            <w:r w:rsidRPr="000B7F6A">
              <w:t>concrete</w:t>
            </w:r>
          </w:p>
          <w:p w:rsidR="00000000" w:rsidRPr="000B7F6A" w:rsidP="000B7F6A">
            <w:pPr>
              <w:pStyle w:val="ListBullet2"/>
            </w:pPr>
            <w:r w:rsidRPr="000B7F6A">
              <w:t>steel</w:t>
            </w:r>
          </w:p>
          <w:p w:rsidR="00000000" w:rsidRPr="000B7F6A" w:rsidP="000B7F6A">
            <w:pPr>
              <w:pStyle w:val="ListBullet2"/>
            </w:pPr>
            <w:r w:rsidRPr="000B7F6A">
              <w:t>composite</w:t>
            </w:r>
          </w:p>
          <w:p w:rsidR="00000000" w:rsidRPr="000B7F6A" w:rsidP="000B7F6A">
            <w:pPr>
              <w:pStyle w:val="ListBullet"/>
            </w:pPr>
            <w:r w:rsidRPr="000B7F6A">
              <w:t>installing lanterns/luminaires, including at least two (2) of the following:</w:t>
            </w:r>
          </w:p>
          <w:p w:rsidR="00000000" w:rsidRPr="000B7F6A" w:rsidP="000B7F6A">
            <w:pPr>
              <w:pStyle w:val="ListBullet2"/>
            </w:pPr>
            <w:r w:rsidRPr="000B7F6A">
              <w:t>high pressure mercury vapour</w:t>
            </w:r>
          </w:p>
          <w:p w:rsidR="00000000" w:rsidRPr="000B7F6A" w:rsidP="000B7F6A">
            <w:pPr>
              <w:pStyle w:val="ListBullet2"/>
            </w:pPr>
            <w:r w:rsidRPr="000B7F6A">
              <w:t>low pressure and high pressure sodium vapour</w:t>
            </w:r>
          </w:p>
          <w:p w:rsidR="00000000" w:rsidRPr="000B7F6A" w:rsidP="000B7F6A">
            <w:pPr>
              <w:pStyle w:val="ListBullet2"/>
            </w:pPr>
            <w:r w:rsidRPr="000B7F6A">
              <w:t>fluorescent</w:t>
            </w:r>
          </w:p>
          <w:p w:rsidR="00000000" w:rsidRPr="000B7F6A" w:rsidP="000B7F6A">
            <w:pPr>
              <w:pStyle w:val="ListBullet2"/>
            </w:pPr>
            <w:r w:rsidRPr="000B7F6A">
              <w:t>quartz-halogen</w:t>
            </w:r>
          </w:p>
          <w:p w:rsidR="00000000" w:rsidRPr="000B7F6A" w:rsidP="000B7F6A">
            <w:pPr>
              <w:pStyle w:val="ListBullet"/>
            </w:pPr>
            <w:r w:rsidRPr="000B7F6A">
              <w:t>using specialist testing devices, including at least three (3) of the following:</w:t>
            </w:r>
          </w:p>
          <w:p w:rsidR="00000000" w:rsidRPr="000B7F6A" w:rsidP="000B7F6A">
            <w:pPr>
              <w:pStyle w:val="ListBullet2"/>
            </w:pPr>
            <w:r w:rsidRPr="000B7F6A">
              <w:t>voltage detectors*</w:t>
            </w:r>
          </w:p>
          <w:p w:rsidR="00000000" w:rsidRPr="000B7F6A" w:rsidP="000B7F6A">
            <w:pPr>
              <w:pStyle w:val="ListBullet2"/>
            </w:pPr>
            <w:r w:rsidRPr="000B7F6A">
              <w:t>insulation resistance testers</w:t>
            </w:r>
          </w:p>
          <w:p w:rsidR="00000000" w:rsidRPr="000B7F6A" w:rsidP="000B7F6A">
            <w:pPr>
              <w:pStyle w:val="ListBullet2"/>
            </w:pPr>
            <w:r w:rsidRPr="000B7F6A">
              <w:t>clamp-on ammeters</w:t>
            </w:r>
          </w:p>
          <w:p w:rsidR="00000000" w:rsidRPr="000B7F6A" w:rsidP="000B7F6A">
            <w:pPr>
              <w:pStyle w:val="ListBullet2"/>
            </w:pPr>
            <w:r w:rsidRPr="000B7F6A">
              <w:t>continuity testers</w:t>
            </w:r>
          </w:p>
          <w:p w:rsidR="00000000" w:rsidRPr="000B7F6A" w:rsidP="000B7F6A">
            <w:pPr>
              <w:pStyle w:val="ListBullet2"/>
            </w:pPr>
            <w:r w:rsidRPr="000B7F6A">
              <w:t>fault indicators</w:t>
            </w:r>
          </w:p>
          <w:p w:rsidR="00000000" w:rsidRPr="000B7F6A" w:rsidP="000B7F6A">
            <w:pPr>
              <w:pStyle w:val="ListBullet2"/>
            </w:pPr>
            <w:r w:rsidRPr="000B7F6A">
              <w:t>(* must use)</w:t>
            </w:r>
          </w:p>
          <w:p w:rsidR="00000000" w:rsidRPr="000B7F6A" w:rsidP="000B7F6A">
            <w:pPr>
              <w:pStyle w:val="ListBullet"/>
            </w:pPr>
            <w:r w:rsidRPr="000B7F6A">
              <w:t>dealing with unplanned events on at least one (1) occasion.</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13" w:name="O_1003186"/>
      <w:bookmarkEnd w:id="13"/>
      <w:r w:rsidRPr="000B7F6A">
        <w:t>Knowledge Evidence</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F6A">
            <w:pPr>
              <w:pStyle w:val="BodyText"/>
              <w:rPr>
                <w:lang w:val="en-NZ"/>
              </w:rPr>
            </w:pPr>
            <w:r w:rsidRPr="000B7F6A">
              <w:t>Evidence required to demonstrate competence in this unit must be relevant to and satisfy all of the requirements of the elements and performance criteria and include knowledge of:</w:t>
            </w:r>
          </w:p>
        </w:tc>
      </w:tr>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ListBullet"/>
            </w:pPr>
            <w:r w:rsidRPr="000B7F6A">
              <w:t>standards, codes, legislation, supply authority regulations, local governm</w:t>
            </w:r>
            <w:r w:rsidRPr="000B7F6A">
              <w:t>ent and/or enterprise requirements pertaining to the installation and maintenance of public lighting systems and associated equipment</w:t>
            </w:r>
          </w:p>
          <w:p w:rsidR="00000000" w:rsidRPr="000B7F6A" w:rsidP="000B7F6A">
            <w:pPr>
              <w:pStyle w:val="ListBullet"/>
            </w:pPr>
            <w:r w:rsidRPr="000B7F6A">
              <w:t>types of lighting systems - overhead and underground</w:t>
            </w:r>
          </w:p>
          <w:p w:rsidR="00000000" w:rsidRPr="000B7F6A" w:rsidP="000B7F6A">
            <w:pPr>
              <w:pStyle w:val="ListBullet"/>
            </w:pPr>
            <w:r w:rsidRPr="000B7F6A">
              <w:t>safety precautions specific to working on street lighting - safe work</w:t>
            </w:r>
            <w:r w:rsidRPr="000B7F6A">
              <w:t>ing practices and procedures, working at heights, working in confined spaces, permit to work systems and isolation procedures</w:t>
            </w:r>
          </w:p>
          <w:p w:rsidR="00000000" w:rsidRPr="000B7F6A" w:rsidP="000B7F6A">
            <w:pPr>
              <w:pStyle w:val="ListBullet"/>
            </w:pPr>
            <w:r w:rsidRPr="000B7F6A">
              <w:t>basic public lighting principles - electromagnetic spectrum, principles of colour, behaviour of light and factors that affect illu</w:t>
            </w:r>
            <w:r w:rsidRPr="000B7F6A">
              <w:t>mination</w:t>
            </w:r>
          </w:p>
          <w:p w:rsidR="00000000" w:rsidRPr="000B7F6A" w:rsidP="000B7F6A">
            <w:pPr>
              <w:pStyle w:val="ListBullet"/>
            </w:pPr>
            <w:r w:rsidRPr="000B7F6A">
              <w:t>requirements for the use of enterprise construction manuals, systems, diagrams/plans and drawings - constructing streetlight, street lighting circuits and earthing system</w:t>
            </w:r>
          </w:p>
          <w:p w:rsidR="00000000" w:rsidRPr="000B7F6A" w:rsidP="000B7F6A">
            <w:pPr>
              <w:pStyle w:val="ListBullet"/>
            </w:pPr>
            <w:r w:rsidRPr="000B7F6A">
              <w:t>types of tools and equipment used for installation and maintenance</w:t>
            </w:r>
          </w:p>
          <w:p w:rsidR="00000000" w:rsidRPr="000B7F6A" w:rsidP="000B7F6A">
            <w:pPr>
              <w:pStyle w:val="ListBullet"/>
            </w:pPr>
            <w:r w:rsidRPr="000B7F6A">
              <w:t>types and</w:t>
            </w:r>
            <w:r w:rsidRPr="000B7F6A">
              <w:t xml:space="preserve"> function of lanterns/luminaries/lamps, control equipment, poles and associated hardware used for street lighting - high pressure mercury vapour, low pressure and high pressure sodium vapour, fluorescent, quartz-halogen, wood, concrete, steel, composite, c</w:t>
            </w:r>
            <w:r w:rsidRPr="000B7F6A">
              <w:t>hoke boxes, photo-electric cells, time switches, contactor boxes, brackets and street lights standards</w:t>
            </w:r>
          </w:p>
          <w:p w:rsidR="00000000" w:rsidRPr="000B7F6A" w:rsidP="000B7F6A">
            <w:pPr>
              <w:pStyle w:val="ListBullet"/>
            </w:pPr>
            <w:r w:rsidRPr="000B7F6A">
              <w:t>techniques for the installation of street lighting systems</w:t>
            </w:r>
          </w:p>
          <w:p w:rsidR="00000000" w:rsidRPr="000B7F6A" w:rsidP="000B7F6A">
            <w:pPr>
              <w:pStyle w:val="ListBullet"/>
            </w:pPr>
            <w:r w:rsidRPr="000B7F6A">
              <w:t>techniques for the inspection, testing and commissioning of street lighting systems</w:t>
            </w:r>
          </w:p>
          <w:p w:rsidR="00000000" w:rsidRPr="000B7F6A" w:rsidP="000B7F6A">
            <w:pPr>
              <w:pStyle w:val="ListBullet"/>
            </w:pPr>
            <w:r w:rsidRPr="000B7F6A">
              <w:t>techniques</w:t>
            </w:r>
            <w:r w:rsidRPr="000B7F6A">
              <w:t xml:space="preserve"> for the maintenance of street lighting systems - diagnosing of faults; removing, repairing, replacement and cleaning of public lighting and associated hardware; and controlling and switching of lighting systems.</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14" w:name="O_1003187"/>
      <w:bookmarkEnd w:id="14"/>
      <w:r w:rsidRPr="000B7F6A">
        <w:t>Assessment Conditions</w:t>
      </w:r>
    </w:p>
    <w:tbl>
      <w:tblPr>
        <w:tblW w:w="9497" w:type="dxa"/>
        <w:tblLayout w:type="fixed"/>
        <w:tblCellMar>
          <w:left w:w="62" w:type="dxa"/>
          <w:right w:w="62" w:type="dxa"/>
        </w:tblCellMar>
        <w:tblLook w:val="0000"/>
      </w:tblPr>
      <w:tblGrid>
        <w:gridCol w:w="9497"/>
      </w:tblGrid>
      <w:tr w:rsidTr="000B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F6A" w:rsidP="000B7F6A">
            <w:pPr>
              <w:pStyle w:val="BodyText"/>
            </w:pPr>
            <w:r w:rsidRPr="000B7F6A">
              <w:t>Assessors must hold credentials specified within the Standards for Registered Training Organisations current at the time of assessment.</w:t>
            </w:r>
          </w:p>
          <w:p w:rsidR="00000000" w:rsidRPr="000B7F6A" w:rsidP="000B7F6A">
            <w:pPr>
              <w:pStyle w:val="BodyText"/>
            </w:pPr>
            <w:r w:rsidRPr="000B7F6A">
              <w:t>Assessment must satisfy the Principles of Assessment and Rules of Evidence and all regulatory requirements included with</w:t>
            </w:r>
            <w:r w:rsidRPr="000B7F6A">
              <w:t>in the Standards for Registered Training Organisations current at the time of assessment.</w:t>
            </w:r>
          </w:p>
          <w:p w:rsidR="00000000" w:rsidRPr="000B7F6A" w:rsidP="000B7F6A">
            <w:pPr>
              <w:pStyle w:val="BodyText"/>
            </w:pPr>
            <w:r w:rsidRPr="000B7F6A">
              <w:t>Assessment must occur in workplace operational situations where it is appropriate to do so; where this is not appropriate, assessment must occur in simulated conditio</w:t>
            </w:r>
            <w:r w:rsidRPr="000B7F6A">
              <w:t>ns involving realistic and authentic activities that replicate operational workplace conditions.</w:t>
            </w:r>
          </w:p>
          <w:p w:rsidR="00000000" w:rsidRPr="000B7F6A" w:rsidP="000B7F6A">
            <w:pPr>
              <w:pStyle w:val="BodyText"/>
            </w:pPr>
            <w:r w:rsidRPr="000B7F6A">
              <w:t>Assessment processes and techniques must be appropriate to the language, literacy and numeracy requirements of the work being performed and the needs of the ca</w:t>
            </w:r>
            <w:r w:rsidRPr="000B7F6A">
              <w:t>ndidate.</w:t>
            </w:r>
          </w:p>
          <w:p w:rsidR="00000000" w:rsidRPr="000B7F6A" w:rsidP="000B7F6A">
            <w:pPr>
              <w:pStyle w:val="BodyText"/>
            </w:pPr>
            <w:r w:rsidRPr="000B7F6A">
              <w:t>Resources for assessment must include access to:</w:t>
            </w:r>
          </w:p>
          <w:p w:rsidR="00000000" w:rsidRPr="000B7F6A" w:rsidP="000B7F6A">
            <w:pPr>
              <w:pStyle w:val="ListBullet"/>
            </w:pPr>
            <w:r w:rsidRPr="000B7F6A">
              <w:t>a range of relevant exercises, case studies and/or other simulations</w:t>
            </w:r>
          </w:p>
          <w:p w:rsidR="00000000" w:rsidRPr="000B7F6A" w:rsidP="000B7F6A">
            <w:pPr>
              <w:pStyle w:val="ListBullet"/>
            </w:pPr>
            <w:r w:rsidRPr="000B7F6A">
              <w:t>relevant and appropriate materials, tools, facilities, equipment and personal protective equipment (PPE) currently used in indus</w:t>
            </w:r>
            <w:r w:rsidRPr="000B7F6A">
              <w:t>try for installing and maintaining public lighting systems in remote communities</w:t>
            </w:r>
          </w:p>
          <w:p w:rsidR="00000000" w:rsidRPr="000B7F6A" w:rsidP="000B7F6A">
            <w:pPr>
              <w:pStyle w:val="ListBullet"/>
            </w:pPr>
            <w:r w:rsidRPr="000B7F6A">
              <w:t>applicable documentation, including workplace procedures, relevant industry standards, equipment specifications, regulations, codes of practice and operation manuals.</w:t>
            </w:r>
          </w:p>
        </w:tc>
      </w:tr>
    </w:tbl>
    <w:p w:rsidR="00000000" w:rsidRPr="000B7F6A" w:rsidP="000B7F6A">
      <w:pPr>
        <w:pStyle w:val="NoPaddingFontSize1"/>
      </w:pPr>
    </w:p>
    <w:p w:rsidR="00000000" w:rsidRPr="000B7F6A" w:rsidP="000B7F6A">
      <w:pPr>
        <w:pStyle w:val="AllowPageBreak"/>
      </w:pPr>
    </w:p>
    <w:p w:rsidR="00000000" w:rsidRPr="000B7F6A" w:rsidP="000B7F6A">
      <w:pPr>
        <w:pStyle w:val="Heading1"/>
      </w:pPr>
      <w:bookmarkStart w:id="15" w:name="O_1003190"/>
      <w:bookmarkEnd w:id="15"/>
      <w:r w:rsidRPr="000B7F6A">
        <w:t>Links</w:t>
      </w:r>
    </w:p>
    <w:p w:rsidR="00000000" w:rsidRPr="000B7F6A" w:rsidP="00EF2F07">
      <w:pPr>
        <w:pStyle w:val="BodyText"/>
      </w:pPr>
      <w:r w:rsidRPr="000B7F6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31BAE">
        <w:rPr>
          <w:rStyle w:val="Hyperlink"/>
        </w:rPr>
        <w:t>https://vetnet.gov.au/Pages/TrainingDocs.aspx?q=229bace1-b7bc-4653-9300-dffb13ecfad7</w:t>
      </w:r>
      <w:r>
        <w:fldChar w:fldCharType="end"/>
      </w:r>
    </w:p>
    <w:p w:rsidR="00000000" w:rsidRPr="000B7F6A" w:rsidP="000B7F6A"/>
    <w:sectPr w:rsidSect="000B7F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6A" w:rsidRPr="00EF2F07" w:rsidP="00EF2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07" w:rsidP="000B7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2F07" w:rsidP="000B7F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F2F07" w:rsidP="000B7F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6A" w:rsidP="000B7F6A">
    <w:pPr>
      <w:pStyle w:val="Footer"/>
      <w:framePr w:wrap="around"/>
    </w:pPr>
    <w:r>
      <w:fldChar w:fldCharType="begin"/>
    </w:r>
    <w:r>
      <w:instrText xml:space="preserve"> DOCPROPERTY  Subject  \* MERGEFORMAT </w:instrText>
    </w:r>
    <w:r>
      <w:fldChar w:fldCharType="separate"/>
    </w:r>
    <w:r w:rsidR="00EF2F07">
      <w:t>Approved</w:t>
    </w:r>
    <w:r w:rsidR="00EF2F07">
      <w:fldChar w:fldCharType="end"/>
    </w:r>
    <w:r>
      <w:tab/>
      <w:t xml:space="preserve">Page </w:t>
    </w:r>
    <w:r>
      <w:fldChar w:fldCharType="begin"/>
    </w:r>
    <w:r>
      <w:instrText xml:space="preserve"> PAGE  \* Arabic  \* MERGEFORMAT </w:instrText>
    </w:r>
    <w:r>
      <w:fldChar w:fldCharType="separate"/>
    </w:r>
    <w:r w:rsidR="00EF2F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2F07">
      <w:rPr>
        <w:noProof/>
      </w:rPr>
      <w:t>5</w:t>
    </w:r>
    <w:r>
      <w:rPr>
        <w:noProof/>
      </w:rPr>
      <w:fldChar w:fldCharType="end"/>
    </w:r>
  </w:p>
  <w:p w:rsidR="000B7F6A" w:rsidP="000B7F6A">
    <w:pPr>
      <w:pStyle w:val="Footer"/>
      <w:framePr w:wrap="around"/>
    </w:pPr>
    <w:r>
      <w:t xml:space="preserve">© Commonwealth of Australia, </w:t>
    </w:r>
    <w:r>
      <w:fldChar w:fldCharType="begin"/>
    </w:r>
    <w:r>
      <w:instrText xml:space="preserve"> DATE  \@ "yyyy"  \* MERGEFORMAT </w:instrText>
    </w:r>
    <w:r>
      <w:fldChar w:fldCharType="separate"/>
    </w:r>
    <w:r w:rsidR="00EF2F07">
      <w:rPr>
        <w:noProof/>
      </w:rPr>
      <w:t>2025</w:t>
    </w:r>
    <w:r>
      <w:fldChar w:fldCharType="end"/>
    </w:r>
    <w:r>
      <w:tab/>
    </w:r>
    <w:r>
      <w:fldChar w:fldCharType="begin"/>
    </w:r>
    <w:r>
      <w:instrText xml:space="preserve"> DOCPROPERTY  Author  \* MERGEFORMAT </w:instrText>
    </w:r>
    <w:r>
      <w:fldChar w:fldCharType="separate"/>
    </w:r>
    <w:r w:rsidR="00EF2F07">
      <w:t>Powering Skills Organisation</w:t>
    </w:r>
    <w:r w:rsidR="00EF2F07">
      <w:fldChar w:fldCharType="end"/>
    </w:r>
  </w:p>
  <w:p w:rsidR="000B7F6A" w:rsidP="000B7F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F6A" w:rsidRPr="00EF2F07" w:rsidP="00EF2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07" w:rsidRPr="002D2AF8" w:rsidP="000B7F6A">
    <w:pPr>
      <w:pStyle w:val="Header"/>
      <w:framePr w:wrap="around"/>
    </w:pPr>
    <w:r>
      <w:fldChar w:fldCharType="begin"/>
    </w:r>
    <w:r>
      <w:instrText xml:space="preserve"> TITLE   \* MERGEFORMAT </w:instrText>
    </w:r>
    <w:r>
      <w:fldChar w:fldCharType="separate"/>
    </w:r>
    <w:r>
      <w:t>UETTDRIS38 Install and maintain public lighting systems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2F07" w:rsidP="000B7F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6A" w:rsidRPr="002D2AF8" w:rsidP="000B7F6A">
    <w:pPr>
      <w:pStyle w:val="Header"/>
      <w:framePr w:wrap="around"/>
    </w:pPr>
    <w:r>
      <w:fldChar w:fldCharType="begin"/>
    </w:r>
    <w:r>
      <w:instrText xml:space="preserve"> TITLE   \* MERGEFORMAT </w:instrText>
    </w:r>
    <w:r>
      <w:fldChar w:fldCharType="separate"/>
    </w:r>
    <w:r w:rsidR="00EF2F07">
      <w:t>UETTDRIS38 Install and maintain public lighting systems in remote communities</w:t>
    </w:r>
    <w:r w:rsidR="00EF2F07">
      <w:fldChar w:fldCharType="end"/>
    </w:r>
    <w:r>
      <w:tab/>
      <w:t xml:space="preserve">Date this document was generated: </w:t>
    </w:r>
    <w:r>
      <w:fldChar w:fldCharType="begin"/>
    </w:r>
    <w:r>
      <w:instrText xml:space="preserve"> CREATEDATE  \@ "d MMMM yyyy"  \* MERGEFORMAT </w:instrText>
    </w:r>
    <w:r>
      <w:fldChar w:fldCharType="separate"/>
    </w:r>
    <w:r w:rsidR="00EF2F07">
      <w:rPr>
        <w:noProof/>
      </w:rPr>
      <w:t>2 March 2025</w:t>
    </w:r>
    <w:r>
      <w:fldChar w:fldCharType="end"/>
    </w:r>
  </w:p>
  <w:p w:rsidR="000B7F6A" w:rsidP="000B7F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2D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705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4F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F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F6A"/>
    <w:pPr>
      <w:spacing w:before="360" w:after="60"/>
      <w:outlineLvl w:val="0"/>
    </w:pPr>
    <w:rPr>
      <w:sz w:val="32"/>
    </w:rPr>
  </w:style>
  <w:style w:type="paragraph" w:styleId="Heading2">
    <w:name w:val="heading 2"/>
    <w:basedOn w:val="HeadingBase"/>
    <w:next w:val="BodyText"/>
    <w:link w:val="Heading2Char"/>
    <w:qFormat/>
    <w:rsid w:val="000B7F6A"/>
    <w:pPr>
      <w:keepLines/>
      <w:spacing w:before="240" w:after="120"/>
      <w:outlineLvl w:val="1"/>
    </w:pPr>
    <w:rPr>
      <w:sz w:val="28"/>
      <w:szCs w:val="40"/>
    </w:rPr>
  </w:style>
  <w:style w:type="paragraph" w:styleId="Heading3">
    <w:name w:val="heading 3"/>
    <w:basedOn w:val="HeadingBase"/>
    <w:next w:val="BodyText"/>
    <w:link w:val="Heading3Char"/>
    <w:qFormat/>
    <w:rsid w:val="000B7F6A"/>
    <w:pPr>
      <w:spacing w:before="180" w:after="120"/>
      <w:outlineLvl w:val="2"/>
    </w:pPr>
    <w:rPr>
      <w:spacing w:val="-10"/>
      <w:kern w:val="32"/>
    </w:rPr>
  </w:style>
  <w:style w:type="paragraph" w:styleId="Heading4">
    <w:name w:val="heading 4"/>
    <w:basedOn w:val="HeadingBase"/>
    <w:next w:val="BodyText"/>
    <w:link w:val="Heading4Char"/>
    <w:qFormat/>
    <w:rsid w:val="000B7F6A"/>
    <w:pPr>
      <w:spacing w:before="160" w:after="120"/>
      <w:outlineLvl w:val="3"/>
    </w:pPr>
    <w:rPr>
      <w:sz w:val="22"/>
    </w:rPr>
  </w:style>
  <w:style w:type="paragraph" w:styleId="Heading5">
    <w:name w:val="heading 5"/>
    <w:basedOn w:val="HeadingBase"/>
    <w:next w:val="Normal"/>
    <w:link w:val="Heading5Char"/>
    <w:qFormat/>
    <w:rsid w:val="000B7F6A"/>
    <w:pPr>
      <w:spacing w:before="80"/>
      <w:outlineLvl w:val="4"/>
    </w:pPr>
    <w:rPr>
      <w:color w:val="918585"/>
      <w:sz w:val="20"/>
    </w:rPr>
  </w:style>
  <w:style w:type="paragraph" w:styleId="Heading6">
    <w:name w:val="heading 6"/>
    <w:basedOn w:val="HeadingBase"/>
    <w:next w:val="Normal"/>
    <w:link w:val="Heading6Char"/>
    <w:qFormat/>
    <w:rsid w:val="000B7F6A"/>
    <w:pPr>
      <w:spacing w:before="60"/>
      <w:outlineLvl w:val="5"/>
    </w:pPr>
    <w:rPr>
      <w:color w:val="918585"/>
      <w:sz w:val="20"/>
    </w:rPr>
  </w:style>
  <w:style w:type="paragraph" w:styleId="Heading7">
    <w:name w:val="heading 7"/>
    <w:basedOn w:val="Normal"/>
    <w:next w:val="Normal"/>
    <w:link w:val="Heading7Char"/>
    <w:qFormat/>
    <w:rsid w:val="000B7F6A"/>
    <w:pPr>
      <w:ind w:left="720"/>
      <w:outlineLvl w:val="6"/>
    </w:pPr>
    <w:rPr>
      <w:i/>
    </w:rPr>
  </w:style>
  <w:style w:type="paragraph" w:styleId="Heading8">
    <w:name w:val="heading 8"/>
    <w:basedOn w:val="Normal"/>
    <w:next w:val="Normal"/>
    <w:link w:val="Heading8Char"/>
    <w:qFormat/>
    <w:rsid w:val="000B7F6A"/>
    <w:pPr>
      <w:ind w:left="720"/>
      <w:outlineLvl w:val="7"/>
    </w:pPr>
    <w:rPr>
      <w:i/>
    </w:rPr>
  </w:style>
  <w:style w:type="paragraph" w:styleId="Heading9">
    <w:name w:val="heading 9"/>
    <w:basedOn w:val="Normal"/>
    <w:next w:val="Normal"/>
    <w:link w:val="Heading9Char"/>
    <w:qFormat/>
    <w:rsid w:val="000B7F6A"/>
    <w:pPr>
      <w:ind w:left="720"/>
      <w:outlineLvl w:val="8"/>
    </w:pPr>
    <w:rPr>
      <w:i/>
    </w:rPr>
  </w:style>
  <w:style w:type="character" w:default="1" w:styleId="DefaultParagraphFont">
    <w:name w:val="Default Paragraph Font"/>
    <w:uiPriority w:val="1"/>
    <w:unhideWhenUsed/>
    <w:rsid w:val="000B7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F6A"/>
  </w:style>
  <w:style w:type="character" w:customStyle="1" w:styleId="Heading1Char">
    <w:name w:val="Heading 1 Char"/>
    <w:basedOn w:val="DefaultParagraphFont"/>
    <w:link w:val="Heading1"/>
    <w:rsid w:val="000B7F6A"/>
    <w:rPr>
      <w:rFonts w:ascii="Times New Roman" w:eastAsia="Times New Roman" w:hAnsi="Times New Roman" w:cs="Times New Roman"/>
      <w:b/>
      <w:sz w:val="32"/>
      <w:szCs w:val="20"/>
      <w:lang w:eastAsia="en-US"/>
    </w:rPr>
  </w:style>
  <w:style w:type="paragraph" w:styleId="BodyText">
    <w:name w:val="Body Text"/>
    <w:basedOn w:val="Normal"/>
    <w:link w:val="BodyTextChar"/>
    <w:rsid w:val="000B7F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F6A"/>
    <w:rPr>
      <w:rFonts w:ascii="Times New Roman" w:eastAsia="Times New Roman" w:hAnsi="Times New Roman" w:cs="Times New Roman"/>
      <w:sz w:val="24"/>
      <w:lang w:eastAsia="en-US"/>
    </w:rPr>
  </w:style>
  <w:style w:type="paragraph" w:styleId="ListBullet">
    <w:name w:val="List Bullet"/>
    <w:basedOn w:val="List"/>
    <w:rsid w:val="000B7F6A"/>
    <w:pPr>
      <w:numPr>
        <w:numId w:val="12"/>
      </w:numPr>
      <w:tabs>
        <w:tab w:val="clear" w:pos="340"/>
      </w:tabs>
      <w:spacing w:before="40" w:after="40"/>
    </w:pPr>
  </w:style>
  <w:style w:type="character" w:customStyle="1" w:styleId="SpecialBold">
    <w:name w:val="Special Bold"/>
    <w:basedOn w:val="DefaultParagraphFont"/>
    <w:rsid w:val="000B7F6A"/>
    <w:rPr>
      <w:b/>
      <w:spacing w:val="0"/>
    </w:rPr>
  </w:style>
  <w:style w:type="paragraph" w:styleId="ListBullet2">
    <w:name w:val="List Bullet 2"/>
    <w:basedOn w:val="List2"/>
    <w:rsid w:val="000B7F6A"/>
    <w:pPr>
      <w:numPr>
        <w:numId w:val="13"/>
      </w:numPr>
      <w:tabs>
        <w:tab w:val="clear" w:pos="680"/>
      </w:tabs>
    </w:pPr>
  </w:style>
  <w:style w:type="paragraph" w:customStyle="1" w:styleId="SuperHeading">
    <w:name w:val="SuperHeading"/>
    <w:basedOn w:val="Normal"/>
    <w:rsid w:val="000B7F6A"/>
    <w:pPr>
      <w:spacing w:before="240" w:after="120"/>
      <w:outlineLvl w:val="0"/>
    </w:pPr>
    <w:rPr>
      <w:rFonts w:ascii="Times New Roman" w:hAnsi="Times New Roman"/>
      <w:b/>
      <w:sz w:val="32"/>
    </w:rPr>
  </w:style>
  <w:style w:type="paragraph" w:customStyle="1" w:styleId="AllowPageBreak">
    <w:name w:val="AllowPageBreak"/>
    <w:rsid w:val="000B7F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7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F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F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F6A"/>
    <w:rPr>
      <w:rFonts w:ascii="Courier New" w:eastAsia="Times New Roman" w:hAnsi="Courier New" w:cs="Times New Roman"/>
      <w:i/>
      <w:szCs w:val="20"/>
      <w:lang w:eastAsia="en-US"/>
    </w:rPr>
  </w:style>
  <w:style w:type="paragraph" w:customStyle="1" w:styleId="HeadingBase">
    <w:name w:val="Heading Base"/>
    <w:rsid w:val="000B7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F6A"/>
    <w:pPr>
      <w:tabs>
        <w:tab w:val="right" w:leader="dot" w:pos="9072"/>
      </w:tabs>
      <w:ind w:left="567"/>
    </w:pPr>
    <w:rPr>
      <w:szCs w:val="22"/>
    </w:rPr>
  </w:style>
  <w:style w:type="paragraph" w:customStyle="1" w:styleId="TOCBase">
    <w:name w:val="TOC Base"/>
    <w:rsid w:val="000B7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F6A"/>
    <w:pPr>
      <w:tabs>
        <w:tab w:val="right" w:leader="dot" w:pos="9072"/>
      </w:tabs>
      <w:spacing w:before="40" w:after="40"/>
      <w:ind w:left="284"/>
    </w:pPr>
    <w:rPr>
      <w:rFonts w:ascii="Times New Roman" w:hAnsi="Times New Roman"/>
    </w:rPr>
  </w:style>
  <w:style w:type="paragraph" w:styleId="TOC1">
    <w:name w:val="toc 1"/>
    <w:basedOn w:val="TOCBase"/>
    <w:next w:val="Normal"/>
    <w:rsid w:val="000B7F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F6A"/>
    <w:rPr>
      <w:rFonts w:ascii="Times New Roman" w:eastAsia="Times New Roman" w:hAnsi="Times New Roman" w:cs="Times New Roman"/>
      <w:sz w:val="16"/>
      <w:lang w:eastAsia="en-US"/>
    </w:rPr>
  </w:style>
  <w:style w:type="paragraph" w:styleId="Title">
    <w:name w:val="Title"/>
    <w:basedOn w:val="HeadingBase"/>
    <w:link w:val="TitleChar"/>
    <w:qFormat/>
    <w:rsid w:val="000B7F6A"/>
    <w:pPr>
      <w:spacing w:before="5040"/>
      <w:jc w:val="center"/>
    </w:pPr>
    <w:rPr>
      <w:sz w:val="48"/>
      <w:szCs w:val="72"/>
      <w:lang w:val="en-US"/>
    </w:rPr>
  </w:style>
  <w:style w:type="character" w:customStyle="1" w:styleId="TitleChar">
    <w:name w:val="Title Char"/>
    <w:basedOn w:val="DefaultParagraphFont"/>
    <w:link w:val="Title"/>
    <w:rsid w:val="000B7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F6A"/>
    <w:pPr>
      <w:tabs>
        <w:tab w:val="left" w:pos="3600"/>
        <w:tab w:val="left" w:pos="3958"/>
      </w:tabs>
    </w:pPr>
  </w:style>
  <w:style w:type="paragraph" w:styleId="List">
    <w:name w:val="List"/>
    <w:basedOn w:val="BodyText"/>
    <w:next w:val="BodyText"/>
    <w:rsid w:val="000B7F6A"/>
    <w:pPr>
      <w:tabs>
        <w:tab w:val="left" w:pos="340"/>
      </w:tabs>
      <w:spacing w:before="60" w:after="60"/>
      <w:ind w:left="340" w:hanging="340"/>
    </w:pPr>
  </w:style>
  <w:style w:type="paragraph" w:customStyle="1" w:styleId="Note">
    <w:name w:val="Note"/>
    <w:basedOn w:val="BodyText"/>
    <w:rsid w:val="000B7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F6A"/>
    <w:pPr>
      <w:framePr w:wrap="auto" w:hAnchor="text" w:y="6049"/>
    </w:pPr>
    <w:rPr>
      <w:color w:val="000000"/>
      <w:sz w:val="40"/>
    </w:rPr>
  </w:style>
  <w:style w:type="paragraph" w:customStyle="1" w:styleId="TOCTitle">
    <w:name w:val="TOCTitle"/>
    <w:basedOn w:val="Heading1"/>
    <w:rsid w:val="000B7F6A"/>
    <w:pPr>
      <w:spacing w:after="240"/>
      <w:jc w:val="center"/>
      <w:outlineLvl w:val="9"/>
    </w:pPr>
    <w:rPr>
      <w:caps/>
    </w:rPr>
  </w:style>
  <w:style w:type="paragraph" w:customStyle="1" w:styleId="Version">
    <w:name w:val="Version"/>
    <w:rsid w:val="000B7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F6A"/>
    <w:pPr>
      <w:keepNext w:val="0"/>
      <w:tabs>
        <w:tab w:val="right" w:pos="4176"/>
      </w:tabs>
      <w:ind w:left="198" w:hanging="198"/>
    </w:pPr>
    <w:rPr>
      <w:rFonts w:ascii="Garamond" w:hAnsi="Garamond"/>
    </w:rPr>
  </w:style>
  <w:style w:type="paragraph" w:styleId="IndexHeading">
    <w:name w:val="index heading"/>
    <w:basedOn w:val="Normal"/>
    <w:next w:val="Index1"/>
    <w:semiHidden/>
    <w:rsid w:val="000B7F6A"/>
    <w:pPr>
      <w:spacing w:before="120" w:after="120"/>
    </w:pPr>
    <w:rPr>
      <w:rFonts w:ascii="Arial" w:hAnsi="Arial"/>
      <w:b/>
      <w:color w:val="918585"/>
      <w:sz w:val="24"/>
    </w:rPr>
  </w:style>
  <w:style w:type="paragraph" w:styleId="Header">
    <w:name w:val="header"/>
    <w:basedOn w:val="Normal"/>
    <w:link w:val="HeaderChar"/>
    <w:rsid w:val="000B7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F6A"/>
    <w:rPr>
      <w:rFonts w:ascii="Times New Roman" w:eastAsia="Times New Roman" w:hAnsi="Times New Roman" w:cs="Times New Roman"/>
      <w:sz w:val="16"/>
      <w:szCs w:val="20"/>
      <w:lang w:val="en-GB" w:eastAsia="en-US"/>
    </w:rPr>
  </w:style>
  <w:style w:type="paragraph" w:customStyle="1" w:styleId="Chapter">
    <w:name w:val="Chapter"/>
    <w:basedOn w:val="Normal"/>
    <w:rsid w:val="000B7F6A"/>
    <w:pPr>
      <w:spacing w:before="240"/>
    </w:pPr>
    <w:rPr>
      <w:rFonts w:ascii="Times New Roman" w:hAnsi="Times New Roman"/>
      <w:smallCaps/>
      <w:spacing w:val="80"/>
      <w:sz w:val="28"/>
    </w:rPr>
  </w:style>
  <w:style w:type="paragraph" w:customStyle="1" w:styleId="InChapter">
    <w:name w:val="InChapter"/>
    <w:basedOn w:val="Heading3"/>
    <w:rsid w:val="000B7F6A"/>
    <w:pPr>
      <w:spacing w:after="240"/>
      <w:outlineLvl w:val="9"/>
    </w:pPr>
    <w:rPr>
      <w:noProof/>
    </w:rPr>
  </w:style>
  <w:style w:type="paragraph" w:styleId="Index2">
    <w:name w:val="index 2"/>
    <w:basedOn w:val="Normal"/>
    <w:next w:val="Normal"/>
    <w:semiHidden/>
    <w:rsid w:val="000B7F6A"/>
    <w:pPr>
      <w:tabs>
        <w:tab w:val="right" w:pos="4176"/>
      </w:tabs>
      <w:ind w:left="568" w:hanging="284"/>
    </w:pPr>
    <w:rPr>
      <w:rFonts w:ascii="Garamond" w:hAnsi="Garamond"/>
    </w:rPr>
  </w:style>
  <w:style w:type="paragraph" w:customStyle="1" w:styleId="Byline">
    <w:name w:val="Byline"/>
    <w:rsid w:val="000B7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F6A"/>
    <w:pPr>
      <w:tabs>
        <w:tab w:val="clear" w:pos="3600"/>
        <w:tab w:val="clear" w:pos="3958"/>
      </w:tabs>
      <w:jc w:val="right"/>
    </w:pPr>
  </w:style>
  <w:style w:type="character" w:styleId="Emphasis">
    <w:name w:val="Emphasis"/>
    <w:basedOn w:val="DefaultParagraphFont"/>
    <w:qFormat/>
    <w:rsid w:val="000B7F6A"/>
    <w:rPr>
      <w:i/>
    </w:rPr>
  </w:style>
  <w:style w:type="paragraph" w:styleId="Caption">
    <w:name w:val="caption"/>
    <w:basedOn w:val="BodyText"/>
    <w:next w:val="Normal"/>
    <w:qFormat/>
    <w:rsid w:val="000B7F6A"/>
    <w:pPr>
      <w:framePr w:w="2268" w:hSpace="181" w:vSpace="181" w:wrap="around" w:vAnchor="text" w:hAnchor="page" w:x="1135" w:y="285" w:anchorLock="1"/>
    </w:pPr>
    <w:rPr>
      <w:i/>
    </w:rPr>
  </w:style>
  <w:style w:type="paragraph" w:customStyle="1" w:styleId="MiniTOCTitle">
    <w:name w:val="MiniTOCTitle"/>
    <w:basedOn w:val="Heading4"/>
    <w:rsid w:val="000B7F6A"/>
    <w:pPr>
      <w:spacing w:before="240"/>
      <w:outlineLvl w:val="9"/>
    </w:pPr>
    <w:rPr>
      <w:noProof/>
      <w:sz w:val="24"/>
    </w:rPr>
  </w:style>
  <w:style w:type="paragraph" w:customStyle="1" w:styleId="MiniTOCItem">
    <w:name w:val="MiniTOCItem"/>
    <w:basedOn w:val="ListBullet"/>
    <w:rsid w:val="000B7F6A"/>
    <w:pPr>
      <w:numPr>
        <w:numId w:val="0"/>
      </w:numPr>
      <w:tabs>
        <w:tab w:val="right" w:leader="dot" w:pos="6521"/>
      </w:tabs>
      <w:spacing w:before="0" w:after="0"/>
    </w:pPr>
  </w:style>
  <w:style w:type="paragraph" w:customStyle="1" w:styleId="TOFTitle">
    <w:name w:val="TOFTitle"/>
    <w:basedOn w:val="TOCTitle"/>
    <w:rsid w:val="000B7F6A"/>
  </w:style>
  <w:style w:type="paragraph" w:styleId="TableofFigures">
    <w:name w:val="table of figures"/>
    <w:basedOn w:val="Normal"/>
    <w:next w:val="Normal"/>
    <w:semiHidden/>
    <w:rsid w:val="000B7F6A"/>
    <w:pPr>
      <w:tabs>
        <w:tab w:val="right" w:leader="dot" w:pos="9072"/>
      </w:tabs>
      <w:ind w:left="970" w:hanging="403"/>
    </w:pPr>
    <w:rPr>
      <w:rFonts w:ascii="Times New Roman" w:hAnsi="Times New Roman"/>
      <w:b/>
    </w:rPr>
  </w:style>
  <w:style w:type="paragraph" w:styleId="ListNumber">
    <w:name w:val="List Number"/>
    <w:basedOn w:val="List"/>
    <w:rsid w:val="000B7F6A"/>
    <w:pPr>
      <w:numPr>
        <w:numId w:val="15"/>
      </w:numPr>
      <w:tabs>
        <w:tab w:val="clear" w:pos="340"/>
      </w:tabs>
    </w:pPr>
  </w:style>
  <w:style w:type="character" w:customStyle="1" w:styleId="WingdingSymbols">
    <w:name w:val="Wingding Symbols"/>
    <w:rsid w:val="000B7F6A"/>
    <w:rPr>
      <w:rFonts w:ascii="Wingdings" w:hAnsi="Wingdings"/>
    </w:rPr>
  </w:style>
  <w:style w:type="paragraph" w:customStyle="1" w:styleId="TableHeading">
    <w:name w:val="Table Heading"/>
    <w:basedOn w:val="HeadingBase"/>
    <w:rsid w:val="000B7F6A"/>
    <w:pPr>
      <w:keepLines/>
      <w:pBdr>
        <w:bottom w:val="single" w:sz="6" w:space="1" w:color="918585"/>
      </w:pBdr>
      <w:spacing w:before="240"/>
    </w:pPr>
  </w:style>
  <w:style w:type="character" w:customStyle="1" w:styleId="HotSpot">
    <w:name w:val="HotSpot"/>
    <w:rsid w:val="000B7F6A"/>
    <w:rPr>
      <w:color w:val="0033CC"/>
      <w:u w:val="none"/>
    </w:rPr>
  </w:style>
  <w:style w:type="paragraph" w:customStyle="1" w:styleId="BodyTextRight">
    <w:name w:val="Body Text Right"/>
    <w:basedOn w:val="BodyText"/>
    <w:rsid w:val="000B7F6A"/>
    <w:pPr>
      <w:spacing w:before="0" w:after="0"/>
      <w:jc w:val="right"/>
    </w:pPr>
  </w:style>
  <w:style w:type="paragraph" w:styleId="Index3">
    <w:name w:val="index 3"/>
    <w:basedOn w:val="ListNumber2"/>
    <w:next w:val="Normal"/>
    <w:semiHidden/>
    <w:rsid w:val="000B7F6A"/>
    <w:pPr>
      <w:numPr>
        <w:numId w:val="0"/>
      </w:numPr>
      <w:tabs>
        <w:tab w:val="right" w:leader="dot" w:pos="4176"/>
      </w:tabs>
    </w:pPr>
  </w:style>
  <w:style w:type="paragraph" w:styleId="ListNumber2">
    <w:name w:val="List Number 2"/>
    <w:basedOn w:val="List2"/>
    <w:rsid w:val="000B7F6A"/>
    <w:pPr>
      <w:numPr>
        <w:numId w:val="10"/>
      </w:numPr>
      <w:tabs>
        <w:tab w:val="clear" w:pos="1060"/>
      </w:tabs>
    </w:pPr>
  </w:style>
  <w:style w:type="paragraph" w:customStyle="1" w:styleId="MarginNote">
    <w:name w:val="Margin Note"/>
    <w:basedOn w:val="BodyText"/>
    <w:rsid w:val="000B7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F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F6A"/>
    <w:rPr>
      <w:sz w:val="32"/>
    </w:rPr>
  </w:style>
  <w:style w:type="paragraph" w:customStyle="1" w:styleId="HeadingProcedure">
    <w:name w:val="Heading Procedure"/>
    <w:basedOn w:val="HeadingBase"/>
    <w:next w:val="Normal"/>
    <w:rsid w:val="000B7F6A"/>
    <w:pPr>
      <w:tabs>
        <w:tab w:val="left" w:pos="0"/>
      </w:tabs>
      <w:spacing w:before="120" w:after="60"/>
    </w:pPr>
    <w:rPr>
      <w:i/>
      <w:color w:val="918585"/>
      <w:sz w:val="22"/>
    </w:rPr>
  </w:style>
  <w:style w:type="paragraph" w:customStyle="1" w:styleId="TableBodyText">
    <w:name w:val="Table Body Text"/>
    <w:basedOn w:val="BodyText"/>
    <w:rsid w:val="000B7F6A"/>
    <w:pPr>
      <w:spacing w:before="60" w:after="60"/>
    </w:pPr>
  </w:style>
  <w:style w:type="paragraph" w:styleId="ListContinue">
    <w:name w:val="List Continue"/>
    <w:basedOn w:val="List"/>
    <w:rsid w:val="000B7F6A"/>
    <w:pPr>
      <w:ind w:firstLine="0"/>
    </w:pPr>
  </w:style>
  <w:style w:type="paragraph" w:customStyle="1" w:styleId="ListNote">
    <w:name w:val="List Note"/>
    <w:basedOn w:val="List"/>
    <w:rsid w:val="000B7F6A"/>
    <w:pPr>
      <w:pBdr>
        <w:top w:val="single" w:sz="6" w:space="2" w:color="918585"/>
        <w:bottom w:val="single" w:sz="6" w:space="2" w:color="918585"/>
      </w:pBdr>
      <w:tabs>
        <w:tab w:val="left" w:pos="1021"/>
      </w:tabs>
      <w:ind w:firstLine="0"/>
    </w:pPr>
  </w:style>
  <w:style w:type="paragraph" w:customStyle="1" w:styleId="Warning">
    <w:name w:val="Warning"/>
    <w:basedOn w:val="BodyText"/>
    <w:rsid w:val="000B7F6A"/>
    <w:pPr>
      <w:shd w:val="clear" w:color="auto" w:fill="D9D9D9"/>
      <w:tabs>
        <w:tab w:val="left" w:pos="992"/>
      </w:tabs>
      <w:ind w:left="119" w:right="119"/>
    </w:pPr>
    <w:rPr>
      <w:sz w:val="20"/>
    </w:rPr>
  </w:style>
  <w:style w:type="paragraph" w:customStyle="1" w:styleId="MarginIcons">
    <w:name w:val="Margin Icons"/>
    <w:basedOn w:val="BodyText"/>
    <w:rsid w:val="000B7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F6A"/>
    <w:rPr>
      <w:rFonts w:ascii="Courier New" w:hAnsi="Courier New"/>
    </w:rPr>
  </w:style>
  <w:style w:type="paragraph" w:customStyle="1" w:styleId="NoteBullet">
    <w:name w:val="Note Bullet"/>
    <w:basedOn w:val="Note"/>
    <w:rsid w:val="000B7F6A"/>
    <w:pPr>
      <w:tabs>
        <w:tab w:val="clear" w:pos="680"/>
      </w:tabs>
      <w:spacing w:before="60" w:after="60"/>
    </w:pPr>
  </w:style>
  <w:style w:type="paragraph" w:customStyle="1" w:styleId="SubHeading2">
    <w:name w:val="SubHeading2"/>
    <w:basedOn w:val="HeadingBase"/>
    <w:rsid w:val="000B7F6A"/>
    <w:pPr>
      <w:spacing w:before="240" w:after="60"/>
    </w:pPr>
    <w:rPr>
      <w:sz w:val="20"/>
    </w:rPr>
  </w:style>
  <w:style w:type="paragraph" w:customStyle="1" w:styleId="SubHeading1">
    <w:name w:val="SubHeading1"/>
    <w:basedOn w:val="HeadingBase"/>
    <w:rsid w:val="000B7F6A"/>
    <w:pPr>
      <w:spacing w:before="240" w:after="60"/>
    </w:pPr>
    <w:rPr>
      <w:color w:val="918585"/>
      <w:sz w:val="22"/>
    </w:rPr>
  </w:style>
  <w:style w:type="paragraph" w:customStyle="1" w:styleId="SideHeading">
    <w:name w:val="Side Heading"/>
    <w:basedOn w:val="HeadingBase"/>
    <w:rsid w:val="000B7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F6A"/>
    <w:pPr>
      <w:tabs>
        <w:tab w:val="num" w:pos="360"/>
      </w:tabs>
    </w:pPr>
  </w:style>
  <w:style w:type="paragraph" w:styleId="PlainText">
    <w:name w:val="Plain Text"/>
    <w:basedOn w:val="Normal"/>
    <w:link w:val="PlainTextChar"/>
    <w:rsid w:val="000B7F6A"/>
    <w:rPr>
      <w:sz w:val="20"/>
    </w:rPr>
  </w:style>
  <w:style w:type="character" w:customStyle="1" w:styleId="PlainTextChar">
    <w:name w:val="Plain Text Char"/>
    <w:basedOn w:val="DefaultParagraphFont"/>
    <w:link w:val="PlainText"/>
    <w:rsid w:val="000B7F6A"/>
    <w:rPr>
      <w:rFonts w:ascii="Courier New" w:eastAsia="Times New Roman" w:hAnsi="Courier New" w:cs="Times New Roman"/>
      <w:sz w:val="20"/>
      <w:szCs w:val="20"/>
      <w:lang w:eastAsia="en-US"/>
    </w:rPr>
  </w:style>
  <w:style w:type="character" w:customStyle="1" w:styleId="MenuOption">
    <w:name w:val="Menu Option"/>
    <w:basedOn w:val="DefaultParagraphFont"/>
    <w:rsid w:val="000B7F6A"/>
    <w:rPr>
      <w:b/>
      <w:smallCaps/>
    </w:rPr>
  </w:style>
  <w:style w:type="paragraph" w:customStyle="1" w:styleId="TableListNumber">
    <w:name w:val="Table List Number"/>
    <w:basedOn w:val="ListNumber"/>
    <w:rsid w:val="000B7F6A"/>
    <w:pPr>
      <w:numPr>
        <w:numId w:val="0"/>
      </w:numPr>
    </w:pPr>
  </w:style>
  <w:style w:type="paragraph" w:styleId="TOC4">
    <w:name w:val="toc 4"/>
    <w:basedOn w:val="TOCBase"/>
    <w:next w:val="Normal"/>
    <w:semiHidden/>
    <w:rsid w:val="000B7F6A"/>
    <w:pPr>
      <w:tabs>
        <w:tab w:val="right" w:leader="dot" w:pos="9071"/>
      </w:tabs>
      <w:ind w:left="1701"/>
    </w:pPr>
  </w:style>
  <w:style w:type="paragraph" w:customStyle="1" w:styleId="ListAlpha">
    <w:name w:val="List Alpha"/>
    <w:basedOn w:val="List"/>
    <w:rsid w:val="000B7F6A"/>
    <w:pPr>
      <w:numPr>
        <w:numId w:val="9"/>
      </w:numPr>
    </w:pPr>
  </w:style>
  <w:style w:type="paragraph" w:customStyle="1" w:styleId="ListAlpha2">
    <w:name w:val="List Alpha 2"/>
    <w:basedOn w:val="List2"/>
    <w:rsid w:val="000B7F6A"/>
    <w:pPr>
      <w:numPr>
        <w:numId w:val="8"/>
      </w:numPr>
    </w:pPr>
  </w:style>
  <w:style w:type="paragraph" w:styleId="List2">
    <w:name w:val="List 2"/>
    <w:basedOn w:val="BodyText"/>
    <w:rsid w:val="000B7F6A"/>
    <w:pPr>
      <w:tabs>
        <w:tab w:val="left" w:pos="680"/>
      </w:tabs>
      <w:spacing w:before="60" w:after="60"/>
      <w:ind w:left="680" w:hanging="340"/>
    </w:pPr>
  </w:style>
  <w:style w:type="paragraph" w:styleId="List3">
    <w:name w:val="List 3"/>
    <w:basedOn w:val="BodyText"/>
    <w:rsid w:val="000B7F6A"/>
    <w:pPr>
      <w:tabs>
        <w:tab w:val="left" w:pos="1021"/>
      </w:tabs>
      <w:spacing w:before="60" w:after="60"/>
      <w:ind w:left="1020" w:hanging="340"/>
    </w:pPr>
  </w:style>
  <w:style w:type="paragraph" w:styleId="List4">
    <w:name w:val="List 4"/>
    <w:basedOn w:val="BodyText"/>
    <w:rsid w:val="000B7F6A"/>
    <w:pPr>
      <w:tabs>
        <w:tab w:val="left" w:pos="1361"/>
      </w:tabs>
      <w:spacing w:before="60" w:after="60"/>
      <w:ind w:left="1361" w:hanging="340"/>
    </w:pPr>
  </w:style>
  <w:style w:type="paragraph" w:styleId="List5">
    <w:name w:val="List 5"/>
    <w:basedOn w:val="BodyText"/>
    <w:rsid w:val="000B7F6A"/>
    <w:pPr>
      <w:tabs>
        <w:tab w:val="left" w:pos="1701"/>
      </w:tabs>
      <w:spacing w:before="60" w:after="60"/>
      <w:ind w:left="1701" w:hanging="340"/>
    </w:pPr>
  </w:style>
  <w:style w:type="paragraph" w:styleId="ListBullet3">
    <w:name w:val="List Bullet 3"/>
    <w:basedOn w:val="List3"/>
    <w:rsid w:val="000B7F6A"/>
    <w:pPr>
      <w:numPr>
        <w:numId w:val="14"/>
      </w:numPr>
      <w:tabs>
        <w:tab w:val="clear" w:pos="1021"/>
      </w:tabs>
      <w:ind w:left="1037" w:hanging="357"/>
    </w:pPr>
  </w:style>
  <w:style w:type="paragraph" w:styleId="ListBullet4">
    <w:name w:val="List Bullet 4"/>
    <w:basedOn w:val="List4"/>
    <w:rsid w:val="000B7F6A"/>
    <w:pPr>
      <w:numPr>
        <w:numId w:val="3"/>
      </w:numPr>
      <w:tabs>
        <w:tab w:val="clear" w:pos="1361"/>
      </w:tabs>
    </w:pPr>
  </w:style>
  <w:style w:type="paragraph" w:styleId="ListBullet5">
    <w:name w:val="List Bullet 5"/>
    <w:basedOn w:val="List5"/>
    <w:rsid w:val="000B7F6A"/>
    <w:pPr>
      <w:numPr>
        <w:numId w:val="4"/>
      </w:numPr>
    </w:pPr>
  </w:style>
  <w:style w:type="paragraph" w:styleId="ListContinue2">
    <w:name w:val="List Continue 2"/>
    <w:basedOn w:val="List2"/>
    <w:rsid w:val="000B7F6A"/>
    <w:pPr>
      <w:ind w:firstLine="0"/>
    </w:pPr>
  </w:style>
  <w:style w:type="paragraph" w:styleId="ListContinue3">
    <w:name w:val="List Continue 3"/>
    <w:basedOn w:val="List3"/>
    <w:rsid w:val="000B7F6A"/>
    <w:pPr>
      <w:ind w:left="1021" w:firstLine="0"/>
    </w:pPr>
  </w:style>
  <w:style w:type="paragraph" w:styleId="ListContinue4">
    <w:name w:val="List Continue 4"/>
    <w:basedOn w:val="List4"/>
    <w:rsid w:val="000B7F6A"/>
    <w:pPr>
      <w:ind w:firstLine="0"/>
    </w:pPr>
  </w:style>
  <w:style w:type="paragraph" w:styleId="ListContinue5">
    <w:name w:val="List Continue 5"/>
    <w:basedOn w:val="List5"/>
    <w:rsid w:val="000B7F6A"/>
    <w:pPr>
      <w:ind w:firstLine="0"/>
    </w:pPr>
  </w:style>
  <w:style w:type="paragraph" w:styleId="ListNumber3">
    <w:name w:val="List Number 3"/>
    <w:basedOn w:val="List3"/>
    <w:rsid w:val="000B7F6A"/>
    <w:pPr>
      <w:numPr>
        <w:numId w:val="5"/>
      </w:numPr>
    </w:pPr>
  </w:style>
  <w:style w:type="paragraph" w:styleId="ListNumber4">
    <w:name w:val="List Number 4"/>
    <w:basedOn w:val="List4"/>
    <w:rsid w:val="000B7F6A"/>
    <w:pPr>
      <w:numPr>
        <w:numId w:val="6"/>
      </w:numPr>
    </w:pPr>
  </w:style>
  <w:style w:type="paragraph" w:styleId="ListNumber5">
    <w:name w:val="List Number 5"/>
    <w:basedOn w:val="List5"/>
    <w:rsid w:val="000B7F6A"/>
    <w:pPr>
      <w:numPr>
        <w:numId w:val="7"/>
      </w:numPr>
    </w:pPr>
  </w:style>
  <w:style w:type="paragraph" w:styleId="BlockText">
    <w:name w:val="Block Text"/>
    <w:basedOn w:val="Normal"/>
    <w:rsid w:val="000B7F6A"/>
    <w:pPr>
      <w:spacing w:after="120"/>
      <w:ind w:left="1440" w:right="1440"/>
    </w:pPr>
  </w:style>
  <w:style w:type="character" w:customStyle="1" w:styleId="Subscript">
    <w:name w:val="Subscript"/>
    <w:basedOn w:val="DefaultParagraphFont"/>
    <w:rsid w:val="000B7F6A"/>
    <w:rPr>
      <w:sz w:val="16"/>
      <w:vertAlign w:val="subscript"/>
    </w:rPr>
  </w:style>
  <w:style w:type="character" w:customStyle="1" w:styleId="Superscript">
    <w:name w:val="Superscript"/>
    <w:basedOn w:val="DefaultParagraphFont"/>
    <w:rsid w:val="000B7F6A"/>
    <w:rPr>
      <w:sz w:val="16"/>
      <w:vertAlign w:val="superscript"/>
    </w:rPr>
  </w:style>
  <w:style w:type="character" w:customStyle="1" w:styleId="Symbols">
    <w:name w:val="Symbols"/>
    <w:basedOn w:val="DefaultParagraphFont"/>
    <w:rsid w:val="000B7F6A"/>
    <w:rPr>
      <w:rFonts w:ascii="Symbol" w:hAnsi="Symbol"/>
    </w:rPr>
  </w:style>
  <w:style w:type="character" w:customStyle="1" w:styleId="MenuOptions">
    <w:name w:val="Menu Options"/>
    <w:basedOn w:val="DefaultParagraphFont"/>
    <w:rsid w:val="000B7F6A"/>
    <w:rPr>
      <w:rFonts w:ascii="Arial Narrow" w:hAnsi="Arial Narrow"/>
      <w:smallCaps/>
    </w:rPr>
  </w:style>
  <w:style w:type="character" w:customStyle="1" w:styleId="Buttons">
    <w:name w:val="Buttons"/>
    <w:basedOn w:val="DefaultParagraphFont"/>
    <w:rsid w:val="000B7F6A"/>
    <w:rPr>
      <w:b/>
    </w:rPr>
  </w:style>
  <w:style w:type="character" w:customStyle="1" w:styleId="Underlined">
    <w:name w:val="Underlined"/>
    <w:basedOn w:val="DefaultParagraphFont"/>
    <w:rsid w:val="000B7F6A"/>
    <w:rPr>
      <w:u w:val="single"/>
    </w:rPr>
  </w:style>
  <w:style w:type="paragraph" w:customStyle="1" w:styleId="TableBodyTextRight">
    <w:name w:val="Table Body Text Right"/>
    <w:basedOn w:val="TableBodyText"/>
    <w:rsid w:val="000B7F6A"/>
    <w:pPr>
      <w:widowControl w:val="0"/>
      <w:autoSpaceDE w:val="0"/>
      <w:autoSpaceDN w:val="0"/>
      <w:adjustRightInd w:val="0"/>
      <w:jc w:val="right"/>
    </w:pPr>
    <w:rPr>
      <w:rFonts w:cs="Arial"/>
      <w:szCs w:val="18"/>
    </w:rPr>
  </w:style>
  <w:style w:type="paragraph" w:customStyle="1" w:styleId="CopyrightText">
    <w:name w:val="Copyright Text"/>
    <w:basedOn w:val="BodyText"/>
    <w:rsid w:val="000B7F6A"/>
    <w:rPr>
      <w:sz w:val="18"/>
    </w:rPr>
  </w:style>
  <w:style w:type="paragraph" w:customStyle="1" w:styleId="BodySmallRight">
    <w:name w:val="Body Small Right"/>
    <w:basedOn w:val="BodyTextRight"/>
    <w:rsid w:val="000B7F6A"/>
    <w:rPr>
      <w:sz w:val="18"/>
      <w:szCs w:val="18"/>
    </w:rPr>
  </w:style>
  <w:style w:type="paragraph" w:customStyle="1" w:styleId="MarginEdition">
    <w:name w:val="Margin Edition"/>
    <w:basedOn w:val="MarginNote"/>
    <w:rsid w:val="000B7F6A"/>
    <w:pPr>
      <w:spacing w:before="0" w:after="0"/>
    </w:pPr>
    <w:rPr>
      <w:rFonts w:ascii="Times New Roman" w:hAnsi="Times New Roman"/>
      <w:color w:val="999999"/>
    </w:rPr>
  </w:style>
  <w:style w:type="paragraph" w:customStyle="1" w:styleId="Spacer">
    <w:name w:val="Spacer"/>
    <w:basedOn w:val="Normal"/>
    <w:rsid w:val="000B7F6A"/>
    <w:rPr>
      <w:sz w:val="2"/>
      <w:szCs w:val="2"/>
    </w:rPr>
  </w:style>
  <w:style w:type="character" w:customStyle="1" w:styleId="Small">
    <w:name w:val="Small"/>
    <w:basedOn w:val="DefaultParagraphFont"/>
    <w:rsid w:val="000B7F6A"/>
    <w:rPr>
      <w:sz w:val="16"/>
    </w:rPr>
  </w:style>
  <w:style w:type="paragraph" w:customStyle="1" w:styleId="WideTable">
    <w:name w:val="Wide Table"/>
    <w:basedOn w:val="Normal"/>
    <w:rsid w:val="000B7F6A"/>
    <w:pPr>
      <w:ind w:left="-1418"/>
    </w:pPr>
    <w:rPr>
      <w:sz w:val="2"/>
      <w:szCs w:val="2"/>
    </w:rPr>
  </w:style>
  <w:style w:type="character" w:styleId="PageNumber">
    <w:name w:val="page number"/>
    <w:basedOn w:val="DefaultParagraphFont"/>
    <w:rsid w:val="000B7F6A"/>
  </w:style>
  <w:style w:type="paragraph" w:styleId="Quote">
    <w:name w:val="Quote"/>
    <w:basedOn w:val="Heading1"/>
    <w:link w:val="QuoteChar"/>
    <w:qFormat/>
    <w:rsid w:val="000B7F6A"/>
    <w:rPr>
      <w:b w:val="0"/>
      <w:sz w:val="72"/>
      <w:szCs w:val="72"/>
      <w:lang w:val="en-NZ"/>
    </w:rPr>
  </w:style>
  <w:style w:type="character" w:customStyle="1" w:styleId="QuoteChar">
    <w:name w:val="Quote Char"/>
    <w:basedOn w:val="DefaultParagraphFont"/>
    <w:link w:val="Quote"/>
    <w:rsid w:val="000B7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F6A"/>
    <w:pPr>
      <w:pageBreakBefore/>
    </w:pPr>
  </w:style>
  <w:style w:type="paragraph" w:customStyle="1" w:styleId="Border">
    <w:name w:val="Border"/>
    <w:basedOn w:val="Normal"/>
    <w:qFormat/>
    <w:rsid w:val="000B7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F6A"/>
    <w:rPr>
      <w:b/>
      <w:bCs/>
      <w:i/>
      <w:iCs/>
      <w:color w:val="auto"/>
    </w:rPr>
  </w:style>
  <w:style w:type="paragraph" w:styleId="IntenseQuote">
    <w:name w:val="Intense Quote"/>
    <w:basedOn w:val="Normal"/>
    <w:next w:val="Normal"/>
    <w:link w:val="IntenseQuoteChar"/>
    <w:uiPriority w:val="30"/>
    <w:qFormat/>
    <w:rsid w:val="000B7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F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F6A"/>
    <w:rPr>
      <w:smallCaps/>
      <w:color w:val="auto"/>
      <w:u w:val="single"/>
    </w:rPr>
  </w:style>
  <w:style w:type="character" w:styleId="IntenseReference">
    <w:name w:val="Intense Reference"/>
    <w:basedOn w:val="DefaultParagraphFont"/>
    <w:uiPriority w:val="32"/>
    <w:qFormat/>
    <w:rsid w:val="000B7F6A"/>
    <w:rPr>
      <w:b/>
      <w:bCs/>
      <w:smallCaps/>
      <w:color w:val="auto"/>
      <w:spacing w:val="5"/>
      <w:u w:val="single"/>
    </w:rPr>
  </w:style>
  <w:style w:type="paragraph" w:customStyle="1" w:styleId="2ColumnHeading">
    <w:name w:val="2Column Heading"/>
    <w:basedOn w:val="BodyText"/>
    <w:qFormat/>
    <w:rsid w:val="000B7F6A"/>
    <w:pPr>
      <w:spacing w:after="60"/>
      <w:ind w:left="-2268"/>
    </w:pPr>
    <w:rPr>
      <w:b/>
    </w:rPr>
  </w:style>
  <w:style w:type="paragraph" w:customStyle="1" w:styleId="Heading1TOC">
    <w:name w:val="Heading1 TOC"/>
    <w:basedOn w:val="Normal"/>
    <w:qFormat/>
    <w:rsid w:val="000B7F6A"/>
    <w:pPr>
      <w:spacing w:before="240" w:after="120"/>
    </w:pPr>
    <w:rPr>
      <w:rFonts w:ascii="Times New Roman" w:hAnsi="Times New Roman"/>
      <w:b/>
      <w:sz w:val="32"/>
    </w:rPr>
  </w:style>
  <w:style w:type="paragraph" w:customStyle="1" w:styleId="Heading2TOC">
    <w:name w:val="Heading2 TOC"/>
    <w:basedOn w:val="Normal"/>
    <w:qFormat/>
    <w:rsid w:val="000B7F6A"/>
    <w:pPr>
      <w:spacing w:before="240" w:after="60"/>
    </w:pPr>
    <w:rPr>
      <w:rFonts w:ascii="Times New Roman" w:hAnsi="Times New Roman"/>
      <w:b/>
      <w:sz w:val="28"/>
    </w:rPr>
  </w:style>
  <w:style w:type="character" w:customStyle="1" w:styleId="Underline">
    <w:name w:val="Underline"/>
    <w:basedOn w:val="DefaultParagraphFont"/>
    <w:qFormat/>
    <w:rsid w:val="000B7F6A"/>
    <w:rPr>
      <w:u w:val="single"/>
    </w:rPr>
  </w:style>
  <w:style w:type="character" w:customStyle="1" w:styleId="BoldandItalics">
    <w:name w:val="Bold and Italics"/>
    <w:qFormat/>
    <w:rsid w:val="000B7F6A"/>
    <w:rPr>
      <w:b/>
      <w:i/>
      <w:u w:val="none"/>
    </w:rPr>
  </w:style>
  <w:style w:type="paragraph" w:styleId="BalloonText">
    <w:name w:val="Balloon Text"/>
    <w:basedOn w:val="Normal"/>
    <w:link w:val="BalloonTextChar"/>
    <w:rsid w:val="000B7F6A"/>
    <w:rPr>
      <w:rFonts w:ascii="Tahoma" w:hAnsi="Tahoma" w:cs="Tahoma"/>
      <w:sz w:val="16"/>
      <w:szCs w:val="16"/>
    </w:rPr>
  </w:style>
  <w:style w:type="character" w:customStyle="1" w:styleId="BalloonTextChar">
    <w:name w:val="Balloon Text Char"/>
    <w:basedOn w:val="DefaultParagraphFont"/>
    <w:link w:val="BalloonText"/>
    <w:rsid w:val="000B7F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F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F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F6A"/>
    <w:rPr>
      <w:b/>
      <w:color w:val="660033"/>
      <w:spacing w:val="0"/>
    </w:rPr>
  </w:style>
  <w:style w:type="paragraph" w:customStyle="1" w:styleId="Nameditemlist">
    <w:name w:val="Named item list"/>
    <w:basedOn w:val="BodyText"/>
    <w:qFormat/>
    <w:rsid w:val="000B7F6A"/>
    <w:pPr>
      <w:tabs>
        <w:tab w:val="left" w:pos="2835"/>
      </w:tabs>
      <w:ind w:left="2835" w:hanging="2835"/>
    </w:pPr>
  </w:style>
  <w:style w:type="paragraph" w:customStyle="1" w:styleId="BodyTextnopadding">
    <w:name w:val="Body Text no padding"/>
    <w:basedOn w:val="BodyText"/>
    <w:qFormat/>
    <w:rsid w:val="000B7F6A"/>
    <w:pPr>
      <w:spacing w:before="0" w:after="0"/>
    </w:pPr>
  </w:style>
  <w:style w:type="paragraph" w:customStyle="1" w:styleId="BodyTextBold">
    <w:name w:val="Body Text Bold"/>
    <w:basedOn w:val="BodyText"/>
    <w:qFormat/>
    <w:rsid w:val="000B7F6A"/>
    <w:rPr>
      <w:b/>
    </w:rPr>
  </w:style>
  <w:style w:type="character" w:styleId="Hyperlink">
    <w:name w:val="Hyperlink"/>
    <w:basedOn w:val="DefaultParagraphFont"/>
    <w:uiPriority w:val="99"/>
    <w:unhideWhenUsed/>
    <w:rsid w:val="00EF2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1553</Words>
  <Characters>10176</Characters>
  <Application>Microsoft Office Word</Application>
  <DocSecurity>0</DocSecurity>
  <Lines>339</Lines>
  <Paragraphs>175</Paragraphs>
  <ScaleCrop>false</ScaleCrop>
  <Company>Author-it Software Corporation Ltd.</Company>
  <LinksUpToDate>false</LinksUpToDate>
  <CharactersWithSpaces>11554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UETTDRIS38 Install and maintain public lighting systems in remote communities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