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DFC" w:rsidP="00937D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UETTDRIS38 Install and maintain public lighting systems in remote communities</w:t>
      </w:r>
      <w:r>
        <w:fldChar w:fldCharType="end"/>
      </w:r>
    </w:p>
    <w:p w:rsidR="00937DFC" w:rsidP="00937DFC">
      <w:pPr>
        <w:pStyle w:val="Version"/>
        <w:sectPr w:rsidSect="00B87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7F2" w:rsidP="00B877F2">
      <w:pPr>
        <w:pStyle w:val="SuperHeading"/>
      </w:pPr>
      <w:r w:rsidRPr="00B877F2">
        <w:t>Assessment Requirements for UETTDRIS38 Install and maintain public lighting systems in remote communities</w:t>
      </w:r>
    </w:p>
    <w:p w:rsidR="00000000" w:rsidRPr="00B877F2" w:rsidP="00B877F2">
      <w:pPr>
        <w:pStyle w:val="Heading1"/>
      </w:pPr>
      <w:bookmarkStart w:id="1" w:name="O_1003184"/>
      <w:bookmarkEnd w:id="1"/>
      <w:r w:rsidRPr="00B877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2" w:rsidP="00B877F2">
            <w:pPr>
              <w:pStyle w:val="BodyText"/>
            </w:pPr>
            <w:r w:rsidRPr="00B877F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877F2" w:rsidP="00B877F2">
      <w:pPr>
        <w:pStyle w:val="NoPaddingFontSize1"/>
      </w:pPr>
    </w:p>
    <w:p w:rsidR="00000000" w:rsidRPr="00B877F2" w:rsidP="00B877F2">
      <w:pPr>
        <w:pStyle w:val="AllowPageBreak"/>
      </w:pPr>
    </w:p>
    <w:p w:rsidR="00000000" w:rsidRPr="00B877F2" w:rsidP="00B877F2">
      <w:pPr>
        <w:pStyle w:val="Heading1"/>
      </w:pPr>
      <w:bookmarkStart w:id="2" w:name="O_1003185"/>
      <w:bookmarkEnd w:id="2"/>
      <w:r w:rsidRPr="00B877F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2">
            <w:pPr>
              <w:pStyle w:val="BodyText"/>
              <w:rPr>
                <w:lang w:val="en-NZ"/>
              </w:rPr>
            </w:pPr>
            <w:r w:rsidRPr="00B877F2">
              <w:t>Evidence required to demonstrate competence in this unit must be relevant to a</w:t>
            </w:r>
            <w:r w:rsidRPr="00B877F2">
              <w:t xml:space="preserve">nd satisfy all of the requirements of the elements and performance criteria on at least two separate occasions and include:  </w:t>
            </w:r>
          </w:p>
        </w:tc>
      </w:tr>
      <w:tr w:rsidTr="00B877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2" w:rsidP="00B877F2">
            <w:pPr>
              <w:pStyle w:val="ListBullet"/>
            </w:pPr>
            <w:r w:rsidRPr="00B877F2">
              <w:t>applying relevant work health and safety (WHS)/occupational health and safety (OHS) requirements, including the use of risk cont</w:t>
            </w:r>
            <w:r w:rsidRPr="00B877F2">
              <w:t xml:space="preserve">rol measures </w:t>
            </w:r>
          </w:p>
          <w:p w:rsidR="00000000" w:rsidRPr="00B877F2" w:rsidP="00B877F2">
            <w:pPr>
              <w:pStyle w:val="ListBullet"/>
            </w:pPr>
            <w:r w:rsidRPr="00B877F2">
              <w:t>applying sustainable energy principles and practices</w:t>
            </w:r>
          </w:p>
          <w:p w:rsidR="00000000" w:rsidRPr="00B877F2" w:rsidP="00B877F2">
            <w:pPr>
              <w:pStyle w:val="ListBullet"/>
            </w:pPr>
            <w:r w:rsidRPr="00B877F2">
              <w:t>installing and maintaining public lighting systems on poles/columns including at least one (1) of the following:</w:t>
            </w:r>
          </w:p>
          <w:p w:rsidR="00000000" w:rsidRPr="00B877F2" w:rsidP="00B877F2">
            <w:pPr>
              <w:pStyle w:val="ListBullet2"/>
            </w:pPr>
            <w:r w:rsidRPr="00B877F2">
              <w:t>wood</w:t>
            </w:r>
          </w:p>
          <w:p w:rsidR="00000000" w:rsidRPr="00B877F2" w:rsidP="00B877F2">
            <w:pPr>
              <w:pStyle w:val="ListBullet2"/>
            </w:pPr>
            <w:r w:rsidRPr="00B877F2">
              <w:t>concrete</w:t>
            </w:r>
          </w:p>
          <w:p w:rsidR="00000000" w:rsidRPr="00B877F2" w:rsidP="00B877F2">
            <w:pPr>
              <w:pStyle w:val="ListBullet2"/>
            </w:pPr>
            <w:r w:rsidRPr="00B877F2">
              <w:t>steel</w:t>
            </w:r>
          </w:p>
          <w:p w:rsidR="00000000" w:rsidRPr="00B877F2" w:rsidP="00B877F2">
            <w:pPr>
              <w:pStyle w:val="ListBullet2"/>
            </w:pPr>
            <w:r w:rsidRPr="00B877F2">
              <w:t>composite</w:t>
            </w:r>
          </w:p>
          <w:p w:rsidR="00000000" w:rsidRPr="00B877F2" w:rsidP="00B877F2">
            <w:pPr>
              <w:pStyle w:val="ListBullet"/>
            </w:pPr>
            <w:r w:rsidRPr="00B877F2">
              <w:t>installing lanterns/luminaires, including at least two (2) of the following:</w:t>
            </w:r>
          </w:p>
          <w:p w:rsidR="00000000" w:rsidRPr="00B877F2" w:rsidP="00B877F2">
            <w:pPr>
              <w:pStyle w:val="ListBullet2"/>
            </w:pPr>
            <w:r w:rsidRPr="00B877F2">
              <w:t>high pressure mercury vapour</w:t>
            </w:r>
          </w:p>
          <w:p w:rsidR="00000000" w:rsidRPr="00B877F2" w:rsidP="00B877F2">
            <w:pPr>
              <w:pStyle w:val="ListBullet2"/>
            </w:pPr>
            <w:r w:rsidRPr="00B877F2">
              <w:t>low pressure and high pressure sodium vapour</w:t>
            </w:r>
          </w:p>
          <w:p w:rsidR="00000000" w:rsidRPr="00B877F2" w:rsidP="00B877F2">
            <w:pPr>
              <w:pStyle w:val="ListBullet2"/>
            </w:pPr>
            <w:r w:rsidRPr="00B877F2">
              <w:t>fluorescent</w:t>
            </w:r>
          </w:p>
          <w:p w:rsidR="00000000" w:rsidRPr="00B877F2" w:rsidP="00B877F2">
            <w:pPr>
              <w:pStyle w:val="ListBullet2"/>
            </w:pPr>
            <w:r w:rsidRPr="00B877F2">
              <w:t>quartz-halogen</w:t>
            </w:r>
          </w:p>
          <w:p w:rsidR="00000000" w:rsidRPr="00B877F2" w:rsidP="00B877F2">
            <w:pPr>
              <w:pStyle w:val="ListBullet"/>
            </w:pPr>
            <w:r w:rsidRPr="00B877F2">
              <w:t>using specialist testing devices, including at least three (3) of the follow</w:t>
            </w:r>
            <w:r w:rsidRPr="00B877F2">
              <w:t>ing:</w:t>
            </w:r>
          </w:p>
          <w:p w:rsidR="00000000" w:rsidRPr="00B877F2" w:rsidP="00B877F2">
            <w:pPr>
              <w:pStyle w:val="ListBullet2"/>
            </w:pPr>
            <w:r w:rsidRPr="00B877F2">
              <w:t>voltage detectors*</w:t>
            </w:r>
          </w:p>
          <w:p w:rsidR="00000000" w:rsidRPr="00B877F2" w:rsidP="00B877F2">
            <w:pPr>
              <w:pStyle w:val="ListBullet2"/>
            </w:pPr>
            <w:r w:rsidRPr="00B877F2">
              <w:t>insulation resistance testers</w:t>
            </w:r>
          </w:p>
          <w:p w:rsidR="00000000" w:rsidRPr="00B877F2" w:rsidP="00B877F2">
            <w:pPr>
              <w:pStyle w:val="ListBullet2"/>
            </w:pPr>
            <w:r w:rsidRPr="00B877F2">
              <w:t>clamp-on ammeters</w:t>
            </w:r>
          </w:p>
          <w:p w:rsidR="00000000" w:rsidRPr="00B877F2" w:rsidP="00B877F2">
            <w:pPr>
              <w:pStyle w:val="ListBullet2"/>
            </w:pPr>
            <w:r w:rsidRPr="00B877F2">
              <w:t>continuity testers</w:t>
            </w:r>
          </w:p>
          <w:p w:rsidR="00000000" w:rsidRPr="00B877F2" w:rsidP="00B877F2">
            <w:pPr>
              <w:pStyle w:val="ListBullet2"/>
            </w:pPr>
            <w:r w:rsidRPr="00B877F2">
              <w:t>fault indicators</w:t>
            </w:r>
          </w:p>
          <w:p w:rsidR="00000000" w:rsidRPr="00B877F2" w:rsidP="00B877F2">
            <w:pPr>
              <w:pStyle w:val="ListBullet2"/>
            </w:pPr>
            <w:r w:rsidRPr="00B877F2">
              <w:t>(* must use)</w:t>
            </w:r>
          </w:p>
          <w:p w:rsidR="00000000" w:rsidRPr="00B877F2" w:rsidP="00B877F2">
            <w:pPr>
              <w:pStyle w:val="ListBullet"/>
            </w:pPr>
            <w:r w:rsidRPr="00B877F2">
              <w:t>dealing with unplanned events on at least one (1) occasion.</w:t>
            </w:r>
          </w:p>
        </w:tc>
      </w:tr>
    </w:tbl>
    <w:p w:rsidR="00000000" w:rsidRPr="00B877F2" w:rsidP="00B877F2">
      <w:pPr>
        <w:pStyle w:val="NoPaddingFontSize1"/>
      </w:pPr>
    </w:p>
    <w:p w:rsidR="00000000" w:rsidRPr="00B877F2" w:rsidP="00B877F2">
      <w:pPr>
        <w:pStyle w:val="AllowPageBreak"/>
      </w:pPr>
    </w:p>
    <w:p w:rsidR="00000000" w:rsidRPr="00B877F2" w:rsidP="00B877F2">
      <w:pPr>
        <w:pStyle w:val="Heading1"/>
      </w:pPr>
      <w:bookmarkStart w:id="3" w:name="O_1003186"/>
      <w:bookmarkEnd w:id="3"/>
      <w:r w:rsidRPr="00B877F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7F2">
            <w:pPr>
              <w:pStyle w:val="BodyText"/>
              <w:rPr>
                <w:lang w:val="en-NZ"/>
              </w:rPr>
            </w:pPr>
            <w:r w:rsidRPr="00B877F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877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2" w:rsidP="00B877F2">
            <w:pPr>
              <w:pStyle w:val="ListBullet"/>
            </w:pPr>
            <w:r w:rsidRPr="00B877F2">
              <w:t>standards, codes, legislation, supply authority regulations, local government and/or enterprise requirements pertaining to the installation and maintenance of public lighting systems and associated equipment</w:t>
            </w:r>
          </w:p>
          <w:p w:rsidR="00000000" w:rsidRPr="00B877F2" w:rsidP="00B877F2">
            <w:pPr>
              <w:pStyle w:val="ListBullet"/>
            </w:pPr>
            <w:r w:rsidRPr="00B877F2">
              <w:t>types of lighting systems - overhead and undergr</w:t>
            </w:r>
            <w:r w:rsidRPr="00B877F2">
              <w:t>ound</w:t>
            </w:r>
          </w:p>
          <w:p w:rsidR="00000000" w:rsidRPr="00B877F2" w:rsidP="00B877F2">
            <w:pPr>
              <w:pStyle w:val="ListBullet"/>
            </w:pPr>
            <w:r w:rsidRPr="00B877F2">
              <w:t>safety precautions specific to working on street lighting - safe working practices and procedures, working at heights, working in confined spaces, permit to work systems and isolation procedures</w:t>
            </w:r>
          </w:p>
          <w:p w:rsidR="00000000" w:rsidRPr="00B877F2" w:rsidP="00B877F2">
            <w:pPr>
              <w:pStyle w:val="ListBullet"/>
            </w:pPr>
            <w:r w:rsidRPr="00B877F2">
              <w:t>basic public lighting principles - electromagnetic spect</w:t>
            </w:r>
            <w:r w:rsidRPr="00B877F2">
              <w:t>rum, principles of colour, behaviour of light and factors that affect illumination</w:t>
            </w:r>
          </w:p>
          <w:p w:rsidR="00000000" w:rsidRPr="00B877F2" w:rsidP="00B877F2">
            <w:pPr>
              <w:pStyle w:val="ListBullet"/>
            </w:pPr>
            <w:r w:rsidRPr="00B877F2">
              <w:t>requirements for the use of enterprise construction manuals, systems, diagrams/plans and drawings - constructing streetlight, street lighting circuits and earthing system</w:t>
            </w:r>
          </w:p>
          <w:p w:rsidR="00000000" w:rsidRPr="00B877F2" w:rsidP="00B877F2">
            <w:pPr>
              <w:pStyle w:val="ListBullet"/>
            </w:pPr>
            <w:r w:rsidRPr="00B877F2">
              <w:t>ty</w:t>
            </w:r>
            <w:r w:rsidRPr="00B877F2">
              <w:t>pes of tools and equipment used for installation and maintenance</w:t>
            </w:r>
          </w:p>
          <w:p w:rsidR="00000000" w:rsidRPr="00B877F2" w:rsidP="00B877F2">
            <w:pPr>
              <w:pStyle w:val="ListBullet"/>
            </w:pPr>
            <w:r w:rsidRPr="00B877F2">
              <w:t>types and function of lanterns/luminaries/lamps, control equipment, poles and associated hardware used for street lighting - high pressure mercury vapour, low pressure and high pressure sodiu</w:t>
            </w:r>
            <w:r w:rsidRPr="00B877F2">
              <w:t>m vapour, fluorescent, quartz-halogen, wood, concrete, steel, composite, choke boxes, photo-electric cells, time switches, contactor boxes, brackets and street lights standards</w:t>
            </w:r>
          </w:p>
          <w:p w:rsidR="00000000" w:rsidRPr="00B877F2" w:rsidP="00B877F2">
            <w:pPr>
              <w:pStyle w:val="ListBullet"/>
            </w:pPr>
            <w:r w:rsidRPr="00B877F2">
              <w:t>techniques for the installation of street lighting systems</w:t>
            </w:r>
          </w:p>
          <w:p w:rsidR="00000000" w:rsidRPr="00B877F2" w:rsidP="00B877F2">
            <w:pPr>
              <w:pStyle w:val="ListBullet"/>
            </w:pPr>
            <w:r w:rsidRPr="00B877F2">
              <w:t>techniques for the i</w:t>
            </w:r>
            <w:r w:rsidRPr="00B877F2">
              <w:t>nspection, testing and commissioning of street lighting systems</w:t>
            </w:r>
          </w:p>
          <w:p w:rsidR="00000000" w:rsidRPr="00B877F2" w:rsidP="00B877F2">
            <w:pPr>
              <w:pStyle w:val="ListBullet"/>
            </w:pPr>
            <w:r w:rsidRPr="00B877F2">
              <w:t xml:space="preserve">techniques for the maintenance of street lighting systems - diagnosing of faults; removing, repairing, replacement and cleaning of public lighting and associated hardware; and controlling and </w:t>
            </w:r>
            <w:r w:rsidRPr="00B877F2">
              <w:t>switching of lighting systems.</w:t>
            </w:r>
          </w:p>
        </w:tc>
      </w:tr>
    </w:tbl>
    <w:p w:rsidR="00000000" w:rsidRPr="00B877F2" w:rsidP="00B877F2">
      <w:pPr>
        <w:pStyle w:val="NoPaddingFontSize1"/>
      </w:pPr>
    </w:p>
    <w:p w:rsidR="00000000" w:rsidRPr="00B877F2" w:rsidP="00B877F2">
      <w:pPr>
        <w:pStyle w:val="AllowPageBreak"/>
      </w:pPr>
    </w:p>
    <w:p w:rsidR="00000000" w:rsidRPr="00B877F2" w:rsidP="00B877F2">
      <w:pPr>
        <w:pStyle w:val="Heading1"/>
      </w:pPr>
      <w:bookmarkStart w:id="4" w:name="O_1003187"/>
      <w:bookmarkEnd w:id="4"/>
      <w:r w:rsidRPr="00B877F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7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7F2" w:rsidP="00B877F2">
            <w:pPr>
              <w:pStyle w:val="BodyText"/>
            </w:pPr>
            <w:r w:rsidRPr="00B877F2">
              <w:t>Assessors must hold credentials specified within the Standards for Registered Training Organisations current at the time of assessment.</w:t>
            </w:r>
          </w:p>
          <w:p w:rsidR="00000000" w:rsidRPr="00B877F2" w:rsidP="00B877F2">
            <w:pPr>
              <w:pStyle w:val="BodyText"/>
            </w:pPr>
            <w:r w:rsidRPr="00B877F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877F2" w:rsidP="00B877F2">
            <w:pPr>
              <w:pStyle w:val="BodyText"/>
            </w:pPr>
            <w:r w:rsidRPr="00B877F2">
              <w:t>Assessment must occur in workplace operational</w:t>
            </w:r>
            <w:r w:rsidRPr="00B877F2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B877F2" w:rsidP="00B877F2">
            <w:pPr>
              <w:pStyle w:val="BodyText"/>
            </w:pPr>
            <w:r w:rsidRPr="00B877F2">
              <w:t>Assessment processes and techniques mus</w:t>
            </w:r>
            <w:r w:rsidRPr="00B877F2">
              <w:t>t be appropriate to the language, literacy and numeracy requirements of the work being performed and the needs of the candidate.</w:t>
            </w:r>
          </w:p>
          <w:p w:rsidR="00000000" w:rsidRPr="00B877F2" w:rsidP="00B877F2">
            <w:pPr>
              <w:pStyle w:val="BodyText"/>
            </w:pPr>
            <w:r w:rsidRPr="00B877F2">
              <w:t>Resources for assessment must include access to:</w:t>
            </w:r>
          </w:p>
          <w:p w:rsidR="00000000" w:rsidRPr="00B877F2" w:rsidP="00B877F2">
            <w:pPr>
              <w:pStyle w:val="ListBullet"/>
            </w:pPr>
            <w:r w:rsidRPr="00B877F2">
              <w:t>a range of relevant exercises, case studies and/or other simulations</w:t>
            </w:r>
          </w:p>
          <w:p w:rsidR="00000000" w:rsidRPr="00B877F2" w:rsidP="00B877F2">
            <w:pPr>
              <w:pStyle w:val="ListBullet"/>
            </w:pPr>
            <w:r w:rsidRPr="00B877F2">
              <w:t>relevant</w:t>
            </w:r>
            <w:r w:rsidRPr="00B877F2">
              <w:t xml:space="preserve"> and appropriate materials, tools, facilities, equipment and personal protective equipment (PPE) currently used in industry for installing and maintaining public lighting systems in remote communities</w:t>
            </w:r>
          </w:p>
          <w:p w:rsidR="00000000" w:rsidRPr="00B877F2" w:rsidP="00B877F2">
            <w:pPr>
              <w:pStyle w:val="ListBullet"/>
            </w:pPr>
            <w:r w:rsidRPr="00B877F2">
              <w:t>applicable documentation, including workplace procedure</w:t>
            </w:r>
            <w:r w:rsidRPr="00B877F2">
              <w:t>s, relevant industry standards, equipment specifications, regulations, codes of practice and operation manuals.</w:t>
            </w:r>
          </w:p>
        </w:tc>
      </w:tr>
    </w:tbl>
    <w:p w:rsidR="00000000" w:rsidRPr="00B877F2" w:rsidP="00B877F2">
      <w:pPr>
        <w:pStyle w:val="NoPaddingFontSize1"/>
      </w:pPr>
    </w:p>
    <w:p w:rsidR="00000000" w:rsidRPr="00B877F2" w:rsidP="00B877F2">
      <w:pPr>
        <w:pStyle w:val="AllowPageBreak"/>
      </w:pPr>
    </w:p>
    <w:p w:rsidR="00000000" w:rsidRPr="00B877F2" w:rsidP="00B877F2">
      <w:pPr>
        <w:pStyle w:val="Heading1"/>
      </w:pPr>
      <w:bookmarkStart w:id="5" w:name="O_1003190"/>
      <w:bookmarkEnd w:id="5"/>
      <w:r w:rsidRPr="00B877F2">
        <w:t>Links</w:t>
      </w:r>
    </w:p>
    <w:p w:rsidR="00000000" w:rsidRPr="00B877F2" w:rsidP="00937DFC">
      <w:pPr>
        <w:pStyle w:val="BodyText"/>
      </w:pPr>
      <w:r w:rsidRPr="00B877F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C4B1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877F2" w:rsidP="00B877F2"/>
    <w:sectPr w:rsidSect="00B877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2" w:rsidRPr="00937DFC" w:rsidP="00937D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DFC" w:rsidP="00B87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7DFC" w:rsidP="00B87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7DFC" w:rsidP="00B87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D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7F2" w:rsidRPr="00937DFC" w:rsidP="00937D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DFC" w:rsidRPr="002D2AF8" w:rsidP="00B87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UETTDRIS38 Install and maintain public lighting systems in remote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37DFC" w:rsidP="00B87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68F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8C5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167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7F2"/>
  </w:style>
  <w:style w:type="character" w:customStyle="1" w:styleId="Heading1Char">
    <w:name w:val="Heading 1 Char"/>
    <w:basedOn w:val="DefaultParagraphFont"/>
    <w:link w:val="Heading1"/>
    <w:rsid w:val="00B87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7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7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7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77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7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7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7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7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77F2"/>
    <w:rPr>
      <w:b/>
      <w:spacing w:val="0"/>
    </w:rPr>
  </w:style>
  <w:style w:type="paragraph" w:customStyle="1" w:styleId="SuperTitle">
    <w:name w:val="SuperTitle"/>
    <w:basedOn w:val="Title"/>
    <w:rsid w:val="00B87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7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7F2"/>
    <w:rPr>
      <w:i/>
    </w:rPr>
  </w:style>
  <w:style w:type="paragraph" w:styleId="Caption">
    <w:name w:val="caption"/>
    <w:basedOn w:val="BodyText"/>
    <w:next w:val="Normal"/>
    <w:qFormat/>
    <w:rsid w:val="00B87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7F2"/>
  </w:style>
  <w:style w:type="paragraph" w:styleId="TableofFigures">
    <w:name w:val="table of figures"/>
    <w:basedOn w:val="Normal"/>
    <w:next w:val="Normal"/>
    <w:semiHidden/>
    <w:rsid w:val="00B87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7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7F2"/>
    <w:rPr>
      <w:rFonts w:ascii="Wingdings" w:hAnsi="Wingdings"/>
    </w:rPr>
  </w:style>
  <w:style w:type="paragraph" w:customStyle="1" w:styleId="TableHeading">
    <w:name w:val="Table Heading"/>
    <w:basedOn w:val="HeadingBase"/>
    <w:rsid w:val="00B877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7F2"/>
    <w:rPr>
      <w:color w:val="0033CC"/>
      <w:u w:val="none"/>
    </w:rPr>
  </w:style>
  <w:style w:type="paragraph" w:customStyle="1" w:styleId="BodyTextRight">
    <w:name w:val="Body Text Right"/>
    <w:basedOn w:val="BodyText"/>
    <w:rsid w:val="00B87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7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7F2"/>
    <w:rPr>
      <w:sz w:val="32"/>
    </w:rPr>
  </w:style>
  <w:style w:type="paragraph" w:customStyle="1" w:styleId="HeadingProcedure">
    <w:name w:val="Heading Procedure"/>
    <w:basedOn w:val="HeadingBase"/>
    <w:next w:val="Normal"/>
    <w:rsid w:val="00B87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7F2"/>
    <w:pPr>
      <w:spacing w:before="60" w:after="60"/>
    </w:pPr>
  </w:style>
  <w:style w:type="paragraph" w:styleId="ListContinue">
    <w:name w:val="List Continue"/>
    <w:basedOn w:val="List"/>
    <w:rsid w:val="00B877F2"/>
    <w:pPr>
      <w:ind w:firstLine="0"/>
    </w:pPr>
  </w:style>
  <w:style w:type="paragraph" w:customStyle="1" w:styleId="ListNote">
    <w:name w:val="List Note"/>
    <w:basedOn w:val="List"/>
    <w:rsid w:val="00B87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7F2"/>
    <w:rPr>
      <w:rFonts w:ascii="Courier New" w:hAnsi="Courier New"/>
    </w:rPr>
  </w:style>
  <w:style w:type="paragraph" w:customStyle="1" w:styleId="NoteBullet">
    <w:name w:val="Note Bullet"/>
    <w:basedOn w:val="Note"/>
    <w:rsid w:val="00B87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7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7F2"/>
    <w:rPr>
      <w:b/>
      <w:smallCaps/>
    </w:rPr>
  </w:style>
  <w:style w:type="paragraph" w:customStyle="1" w:styleId="TableListNumber">
    <w:name w:val="Table List Number"/>
    <w:basedOn w:val="ListNumber"/>
    <w:rsid w:val="00B87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7F2"/>
    <w:pPr>
      <w:numPr>
        <w:numId w:val="9"/>
      </w:numPr>
    </w:pPr>
  </w:style>
  <w:style w:type="paragraph" w:customStyle="1" w:styleId="ListAlpha2">
    <w:name w:val="List Alpha 2"/>
    <w:basedOn w:val="List2"/>
    <w:rsid w:val="00B877F2"/>
    <w:pPr>
      <w:numPr>
        <w:numId w:val="8"/>
      </w:numPr>
    </w:pPr>
  </w:style>
  <w:style w:type="paragraph" w:styleId="List2">
    <w:name w:val="List 2"/>
    <w:basedOn w:val="BodyText"/>
    <w:rsid w:val="00B87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7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7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7F2"/>
    <w:pPr>
      <w:numPr>
        <w:numId w:val="4"/>
      </w:numPr>
    </w:pPr>
  </w:style>
  <w:style w:type="paragraph" w:styleId="ListContinue2">
    <w:name w:val="List Continue 2"/>
    <w:basedOn w:val="List2"/>
    <w:rsid w:val="00B877F2"/>
    <w:pPr>
      <w:ind w:firstLine="0"/>
    </w:pPr>
  </w:style>
  <w:style w:type="paragraph" w:styleId="ListContinue3">
    <w:name w:val="List Continue 3"/>
    <w:basedOn w:val="List3"/>
    <w:rsid w:val="00B877F2"/>
    <w:pPr>
      <w:ind w:left="1021" w:firstLine="0"/>
    </w:pPr>
  </w:style>
  <w:style w:type="paragraph" w:styleId="ListContinue4">
    <w:name w:val="List Continue 4"/>
    <w:basedOn w:val="List4"/>
    <w:rsid w:val="00B877F2"/>
    <w:pPr>
      <w:ind w:firstLine="0"/>
    </w:pPr>
  </w:style>
  <w:style w:type="paragraph" w:styleId="ListContinue5">
    <w:name w:val="List Continue 5"/>
    <w:basedOn w:val="List5"/>
    <w:rsid w:val="00B877F2"/>
    <w:pPr>
      <w:ind w:firstLine="0"/>
    </w:pPr>
  </w:style>
  <w:style w:type="paragraph" w:styleId="ListNumber3">
    <w:name w:val="List Number 3"/>
    <w:basedOn w:val="List3"/>
    <w:rsid w:val="00B877F2"/>
    <w:pPr>
      <w:numPr>
        <w:numId w:val="5"/>
      </w:numPr>
    </w:pPr>
  </w:style>
  <w:style w:type="paragraph" w:styleId="ListNumber4">
    <w:name w:val="List Number 4"/>
    <w:basedOn w:val="List4"/>
    <w:rsid w:val="00B877F2"/>
    <w:pPr>
      <w:numPr>
        <w:numId w:val="6"/>
      </w:numPr>
    </w:pPr>
  </w:style>
  <w:style w:type="paragraph" w:styleId="ListNumber5">
    <w:name w:val="List Number 5"/>
    <w:basedOn w:val="List5"/>
    <w:rsid w:val="00B877F2"/>
    <w:pPr>
      <w:numPr>
        <w:numId w:val="7"/>
      </w:numPr>
    </w:pPr>
  </w:style>
  <w:style w:type="paragraph" w:styleId="BlockText">
    <w:name w:val="Block Text"/>
    <w:basedOn w:val="Normal"/>
    <w:rsid w:val="00B87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7F2"/>
    <w:rPr>
      <w:sz w:val="16"/>
      <w:vertAlign w:val="superscript"/>
    </w:rPr>
  </w:style>
  <w:style w:type="character" w:customStyle="1" w:styleId="Symbols">
    <w:name w:val="Symbols"/>
    <w:basedOn w:val="DefaultParagraphFont"/>
    <w:rsid w:val="00B877F2"/>
    <w:rPr>
      <w:rFonts w:ascii="Symbol" w:hAnsi="Symbol"/>
    </w:rPr>
  </w:style>
  <w:style w:type="character" w:customStyle="1" w:styleId="MenuOptions">
    <w:name w:val="Menu Options"/>
    <w:basedOn w:val="DefaultParagraphFont"/>
    <w:rsid w:val="00B87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7F2"/>
    <w:rPr>
      <w:b/>
    </w:rPr>
  </w:style>
  <w:style w:type="character" w:customStyle="1" w:styleId="Underlined">
    <w:name w:val="Underlined"/>
    <w:basedOn w:val="DefaultParagraphFont"/>
    <w:rsid w:val="00B877F2"/>
    <w:rPr>
      <w:u w:val="single"/>
    </w:rPr>
  </w:style>
  <w:style w:type="paragraph" w:customStyle="1" w:styleId="TableBodyTextRight">
    <w:name w:val="Table Body Text Right"/>
    <w:basedOn w:val="TableBodyText"/>
    <w:rsid w:val="00B87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7F2"/>
    <w:rPr>
      <w:sz w:val="18"/>
    </w:rPr>
  </w:style>
  <w:style w:type="paragraph" w:customStyle="1" w:styleId="BodySmallRight">
    <w:name w:val="Body Small Right"/>
    <w:basedOn w:val="BodyTextRight"/>
    <w:rsid w:val="00B877F2"/>
    <w:rPr>
      <w:sz w:val="18"/>
      <w:szCs w:val="18"/>
    </w:rPr>
  </w:style>
  <w:style w:type="paragraph" w:customStyle="1" w:styleId="MarginEdition">
    <w:name w:val="Margin Edition"/>
    <w:basedOn w:val="MarginNote"/>
    <w:rsid w:val="00B87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7F2"/>
    <w:rPr>
      <w:sz w:val="2"/>
      <w:szCs w:val="2"/>
    </w:rPr>
  </w:style>
  <w:style w:type="character" w:customStyle="1" w:styleId="Small">
    <w:name w:val="Small"/>
    <w:basedOn w:val="DefaultParagraphFont"/>
    <w:rsid w:val="00B877F2"/>
    <w:rPr>
      <w:sz w:val="16"/>
    </w:rPr>
  </w:style>
  <w:style w:type="paragraph" w:customStyle="1" w:styleId="WideTable">
    <w:name w:val="Wide Table"/>
    <w:basedOn w:val="Normal"/>
    <w:rsid w:val="00B87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7F2"/>
  </w:style>
  <w:style w:type="paragraph" w:styleId="Quote">
    <w:name w:val="Quote"/>
    <w:basedOn w:val="Heading1"/>
    <w:link w:val="QuoteChar"/>
    <w:qFormat/>
    <w:rsid w:val="00B87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7F2"/>
    <w:pPr>
      <w:pageBreakBefore/>
    </w:pPr>
  </w:style>
  <w:style w:type="paragraph" w:customStyle="1" w:styleId="Border">
    <w:name w:val="Border"/>
    <w:basedOn w:val="Normal"/>
    <w:qFormat/>
    <w:rsid w:val="00B87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7F2"/>
    <w:rPr>
      <w:u w:val="single"/>
    </w:rPr>
  </w:style>
  <w:style w:type="character" w:customStyle="1" w:styleId="BoldandItalics">
    <w:name w:val="Bold and Italics"/>
    <w:qFormat/>
    <w:rsid w:val="00B877F2"/>
    <w:rPr>
      <w:b/>
      <w:i/>
      <w:u w:val="none"/>
    </w:rPr>
  </w:style>
  <w:style w:type="paragraph" w:styleId="BalloonText">
    <w:name w:val="Balloon Text"/>
    <w:basedOn w:val="Normal"/>
    <w:link w:val="BalloonTextChar"/>
    <w:rsid w:val="00B87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7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7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7F2"/>
    <w:pPr>
      <w:spacing w:before="0" w:after="0"/>
    </w:pPr>
  </w:style>
  <w:style w:type="paragraph" w:customStyle="1" w:styleId="BodyTextBold">
    <w:name w:val="Body Text Bold"/>
    <w:basedOn w:val="BodyText"/>
    <w:qFormat/>
    <w:rsid w:val="00B877F2"/>
    <w:rPr>
      <w:b/>
    </w:rPr>
  </w:style>
  <w:style w:type="character" w:styleId="Hyperlink">
    <w:name w:val="Hyperlink"/>
    <w:basedOn w:val="DefaultParagraphFont"/>
    <w:uiPriority w:val="99"/>
    <w:unhideWhenUsed/>
    <w:rsid w:val="00937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4166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UETTDRIS38 Install and maintain public lighting systems in remote communities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