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6C97" w:rsidP="00D36C97">
      <w:pPr>
        <w:pStyle w:val="Title"/>
      </w:pPr>
      <w:r>
        <w:fldChar w:fldCharType="begin"/>
      </w:r>
      <w:r>
        <w:instrText xml:space="preserve"> TITLE   \* MERGEFORMAT </w:instrText>
      </w:r>
      <w:r>
        <w:fldChar w:fldCharType="separate"/>
      </w:r>
      <w:r>
        <w:t>UETTDREL21 Operate specialised data information equipment near live electrical apparatus</w:t>
      </w:r>
      <w:r>
        <w:fldChar w:fldCharType="end"/>
      </w:r>
    </w:p>
    <w:p w:rsidR="00D36C97" w:rsidP="00D36C97">
      <w:pPr>
        <w:pStyle w:val="Version"/>
        <w:sectPr w:rsidSect="00A34C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4C73" w:rsidP="00A34C73">
      <w:pPr>
        <w:pStyle w:val="SuperHeading"/>
      </w:pPr>
      <w:r w:rsidRPr="00A34C73">
        <w:t>UETTDREL21 Operate specialised data information equipment near live electrical apparatus</w:t>
      </w:r>
    </w:p>
    <w:p w:rsidR="00000000" w:rsidRPr="00A34C73" w:rsidP="00A34C73">
      <w:pPr>
        <w:pStyle w:val="Heading1"/>
      </w:pPr>
      <w:bookmarkStart w:id="1" w:name="O_1003041"/>
      <w:bookmarkEnd w:id="1"/>
      <w:r w:rsidRPr="00A34C73">
        <w:t>Modification History</w:t>
      </w:r>
    </w:p>
    <w:tbl>
      <w:tblPr>
        <w:tblW w:w="9497" w:type="dxa"/>
        <w:tblLayout w:type="fixed"/>
        <w:tblCellMar>
          <w:left w:w="62" w:type="dxa"/>
          <w:right w:w="62" w:type="dxa"/>
        </w:tblCellMar>
        <w:tblLook w:val="0000"/>
      </w:tblPr>
      <w:tblGrid>
        <w:gridCol w:w="9497"/>
      </w:tblGrid>
      <w:tr w:rsidTr="00A34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C73" w:rsidP="00A34C73">
            <w:pPr>
              <w:pStyle w:val="BodyText"/>
            </w:pPr>
            <w:r w:rsidRPr="00A34C73">
              <w:t>Release 1. This is the first release of this unit of competency in the UET Transmission, Distribution and Rail Sector Training Package.</w:t>
            </w:r>
          </w:p>
        </w:tc>
      </w:tr>
    </w:tbl>
    <w:p w:rsidR="00000000" w:rsidRPr="00A34C73" w:rsidP="00A34C73">
      <w:pPr>
        <w:pStyle w:val="NoPaddingFontSize1"/>
      </w:pPr>
    </w:p>
    <w:p w:rsidR="00000000" w:rsidRPr="00A34C73" w:rsidP="00A34C73">
      <w:pPr>
        <w:pStyle w:val="AllowPageBreak"/>
      </w:pPr>
    </w:p>
    <w:p w:rsidR="00000000" w:rsidRPr="00A34C73" w:rsidP="00A34C73">
      <w:pPr>
        <w:pStyle w:val="Heading1"/>
      </w:pPr>
      <w:bookmarkStart w:id="2" w:name="O_1003042"/>
      <w:bookmarkEnd w:id="2"/>
      <w:r w:rsidRPr="00A34C73">
        <w:t>Application</w:t>
      </w:r>
    </w:p>
    <w:tbl>
      <w:tblPr>
        <w:tblW w:w="9497" w:type="dxa"/>
        <w:tblLayout w:type="fixed"/>
        <w:tblCellMar>
          <w:left w:w="62" w:type="dxa"/>
          <w:right w:w="62" w:type="dxa"/>
        </w:tblCellMar>
        <w:tblLook w:val="0000"/>
      </w:tblPr>
      <w:tblGrid>
        <w:gridCol w:w="9497"/>
      </w:tblGrid>
      <w:tr w:rsidTr="00A34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C73" w:rsidP="00A34C73">
            <w:pPr>
              <w:pStyle w:val="BodyText"/>
            </w:pPr>
            <w:r w:rsidRPr="00A34C73">
              <w:t>This unit covers the operation of specialised data information equipment near live elec</w:t>
            </w:r>
            <w:r w:rsidRPr="00A34C73">
              <w:t>trical apparatus.</w:t>
            </w:r>
          </w:p>
          <w:p w:rsidR="00000000" w:rsidRPr="00A34C73" w:rsidP="00A34C73">
            <w:pPr>
              <w:pStyle w:val="BodyText"/>
            </w:pPr>
            <w:r w:rsidRPr="00A34C73">
              <w:t>Also included is the preparation of risk assessment control measures that encompass job safety assessment.</w:t>
            </w:r>
          </w:p>
          <w:p w:rsidR="00000000" w:rsidRPr="00A34C73" w:rsidP="00A34C73">
            <w:pPr>
              <w:pStyle w:val="BodyText"/>
            </w:pPr>
            <w:r w:rsidRPr="00A34C73">
              <w:t>It also includes compliance with relevant state or territory regulatory agencies/bodies, local government legislation, industry bi-</w:t>
            </w:r>
            <w:r w:rsidRPr="00A34C73">
              <w:t>partite bodies, guidelines/codes of practices or other related requirements for safe use of equipment near live electrical apparatus.</w:t>
            </w:r>
          </w:p>
          <w:p w:rsidR="00000000" w:rsidRPr="00A34C73" w:rsidP="00A34C73">
            <w:pPr>
              <w:pStyle w:val="BodyText"/>
            </w:pPr>
            <w:r w:rsidRPr="00A34C73">
              <w:t>The application of the skills and knowledge described in this unit may require a licence/registration to practice in the w</w:t>
            </w:r>
            <w:r w:rsidRPr="00A34C73">
              <w:t xml:space="preserve">orkplace subject to regulations for undertaking of electrical work.  </w:t>
            </w:r>
          </w:p>
          <w:p w:rsidR="00000000" w:rsidRPr="00A34C73" w:rsidP="00A34C73">
            <w:pPr>
              <w:pStyle w:val="BodyText"/>
            </w:pPr>
            <w:r w:rsidRPr="00A34C73">
              <w:t>Other conditions may apply under state and territory legislative and regulatory licencing requirements which must be confirmed prior to commencing this unit.</w:t>
            </w:r>
          </w:p>
        </w:tc>
      </w:tr>
    </w:tbl>
    <w:p w:rsidR="00000000" w:rsidRPr="00A34C73" w:rsidP="00A34C73">
      <w:pPr>
        <w:pStyle w:val="NoPaddingFontSize1"/>
      </w:pPr>
    </w:p>
    <w:p w:rsidR="00000000" w:rsidRPr="00A34C73" w:rsidP="00A34C73">
      <w:pPr>
        <w:pStyle w:val="AllowPageBreak"/>
      </w:pPr>
    </w:p>
    <w:p w:rsidR="00000000" w:rsidRPr="00A34C73" w:rsidP="00A34C73">
      <w:pPr>
        <w:pStyle w:val="Heading1"/>
      </w:pPr>
      <w:bookmarkStart w:id="3" w:name="O_1003043"/>
      <w:bookmarkEnd w:id="3"/>
      <w:r w:rsidRPr="00A34C73">
        <w:t>Pre-req</w:t>
      </w:r>
      <w:r w:rsidRPr="00A34C73">
        <w:t>uisite Unit</w:t>
      </w:r>
    </w:p>
    <w:tbl>
      <w:tblPr>
        <w:tblW w:w="9497" w:type="dxa"/>
        <w:tblLayout w:type="fixed"/>
        <w:tblCellMar>
          <w:left w:w="62" w:type="dxa"/>
          <w:right w:w="62" w:type="dxa"/>
        </w:tblCellMar>
        <w:tblLook w:val="0000"/>
      </w:tblPr>
      <w:tblGrid>
        <w:gridCol w:w="9497"/>
      </w:tblGrid>
      <w:tr w:rsidTr="00A34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C73" w:rsidP="00A34C73">
            <w:pPr>
              <w:pStyle w:val="BodyText"/>
            </w:pPr>
            <w:r w:rsidRPr="00A34C73">
              <w:t>Common Unit Group</w:t>
            </w:r>
          </w:p>
          <w:p w:rsidR="00000000" w:rsidRPr="00A34C73" w:rsidP="00A34C73">
            <w:pPr>
              <w:pStyle w:val="BodyText"/>
            </w:pPr>
            <w:r w:rsidRPr="00A34C73">
              <w:t>UEENEEE101A Apply Occupational Health and Safety regulations, codes and practices in the workplace</w:t>
            </w:r>
          </w:p>
          <w:p w:rsidR="00000000" w:rsidRPr="00A34C73" w:rsidP="00A34C73">
            <w:pPr>
              <w:pStyle w:val="BodyText"/>
            </w:pPr>
            <w:r w:rsidRPr="00A34C73">
              <w:t>UETTDREL13 Comply with sustainability, environmental and incidental response policies and procedures</w:t>
            </w:r>
          </w:p>
          <w:p w:rsidR="00000000" w:rsidRPr="00A34C73" w:rsidP="00A34C73">
            <w:pPr>
              <w:pStyle w:val="BodyText"/>
            </w:pPr>
            <w:r w:rsidRPr="00A34C73">
              <w:t xml:space="preserve">UETTDREL14 Working safely </w:t>
            </w:r>
            <w:r w:rsidRPr="00A34C73">
              <w:t>near live electrical apparatus as a non-electrical worker</w:t>
            </w:r>
          </w:p>
        </w:tc>
      </w:tr>
    </w:tbl>
    <w:p w:rsidR="00000000" w:rsidRPr="00A34C73" w:rsidP="00A34C73">
      <w:pPr>
        <w:pStyle w:val="NoPaddingFontSize1"/>
      </w:pPr>
    </w:p>
    <w:p w:rsidR="00000000" w:rsidRPr="00A34C73" w:rsidP="00A34C73">
      <w:pPr>
        <w:pStyle w:val="AllowPageBreak"/>
      </w:pPr>
    </w:p>
    <w:p w:rsidR="00000000" w:rsidRPr="00A34C73" w:rsidP="00A34C73">
      <w:pPr>
        <w:pStyle w:val="Heading1"/>
      </w:pPr>
      <w:bookmarkStart w:id="4" w:name="O_1003044"/>
      <w:bookmarkEnd w:id="4"/>
      <w:r w:rsidRPr="00A34C73">
        <w:t>Competency Field</w:t>
      </w:r>
    </w:p>
    <w:tbl>
      <w:tblPr>
        <w:tblW w:w="9497" w:type="dxa"/>
        <w:tblLayout w:type="fixed"/>
        <w:tblCellMar>
          <w:left w:w="62" w:type="dxa"/>
          <w:right w:w="62" w:type="dxa"/>
        </w:tblCellMar>
        <w:tblLook w:val="0000"/>
      </w:tblPr>
      <w:tblGrid>
        <w:gridCol w:w="9497"/>
      </w:tblGrid>
      <w:tr w:rsidTr="00A34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C73" w:rsidP="00A34C73">
            <w:pPr>
              <w:pStyle w:val="BodyText"/>
            </w:pPr>
            <w:r w:rsidRPr="00A34C73">
              <w:t>Entry Level Cross Discipline</w:t>
            </w:r>
          </w:p>
        </w:tc>
      </w:tr>
    </w:tbl>
    <w:p w:rsidR="00000000" w:rsidRPr="00A34C73" w:rsidP="00A34C73">
      <w:pPr>
        <w:pStyle w:val="NoPaddingFontSize1"/>
      </w:pPr>
    </w:p>
    <w:p w:rsidR="00000000" w:rsidRPr="00A34C73" w:rsidP="00A34C73">
      <w:pPr>
        <w:pStyle w:val="AllowPageBreak"/>
      </w:pPr>
    </w:p>
    <w:p w:rsidR="00000000" w:rsidRPr="00A34C73" w:rsidP="00A34C73">
      <w:pPr>
        <w:pStyle w:val="Heading1"/>
      </w:pPr>
      <w:bookmarkStart w:id="5" w:name="O_1003045"/>
      <w:bookmarkEnd w:id="5"/>
      <w:r w:rsidRPr="00A34C73">
        <w:t>Unit Sector</w:t>
      </w:r>
    </w:p>
    <w:tbl>
      <w:tblPr>
        <w:tblW w:w="9497" w:type="dxa"/>
        <w:tblLayout w:type="fixed"/>
        <w:tblCellMar>
          <w:left w:w="62" w:type="dxa"/>
          <w:right w:w="62" w:type="dxa"/>
        </w:tblCellMar>
        <w:tblLook w:val="0000"/>
      </w:tblPr>
      <w:tblGrid>
        <w:gridCol w:w="9497"/>
      </w:tblGrid>
      <w:tr w:rsidTr="00A34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C73" w:rsidP="00A34C73">
            <w:pPr>
              <w:pStyle w:val="BodyText"/>
            </w:pPr>
            <w:r w:rsidRPr="00A34C73">
              <w:t>Not applicable.</w:t>
            </w:r>
          </w:p>
        </w:tc>
      </w:tr>
    </w:tbl>
    <w:p w:rsidR="00000000" w:rsidRPr="00A34C73" w:rsidP="00A34C73">
      <w:pPr>
        <w:pStyle w:val="NoPaddingFontSize1"/>
      </w:pPr>
    </w:p>
    <w:p w:rsidR="00000000" w:rsidRPr="00A34C73" w:rsidP="00A34C73">
      <w:pPr>
        <w:pStyle w:val="AllowPageBreak"/>
      </w:pPr>
    </w:p>
    <w:p w:rsidR="00000000" w:rsidRPr="00A34C73" w:rsidP="00A34C73">
      <w:pPr>
        <w:pStyle w:val="Heading1"/>
      </w:pPr>
      <w:bookmarkStart w:id="6" w:name="O_1003046"/>
      <w:bookmarkEnd w:id="6"/>
      <w:r w:rsidRPr="00A34C7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34C7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34C73" w:rsidP="00A34C73">
            <w:pPr>
              <w:pStyle w:val="BodyText"/>
            </w:pPr>
            <w:r w:rsidRPr="00A34C7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PERFORMANCE CRITERIA</w:t>
            </w:r>
          </w:p>
        </w:tc>
      </w:tr>
      <w:tr w:rsidTr="00A34C7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Performance criteria describe the performance needed to demonstrate achievement of the element.</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34C73" w:rsidP="00A34C73">
            <w:pPr>
              <w:pStyle w:val="BodyText"/>
            </w:pPr>
            <w:r w:rsidRPr="00A34C7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34C73" w:rsidP="00A34C73">
            <w:pPr>
              <w:pStyle w:val="BodyText"/>
            </w:pPr>
            <w:r w:rsidRPr="00A34C73">
              <w:rPr>
                <w:rStyle w:val="SpecialBold"/>
              </w:rPr>
              <w:t>Prepare to operate specialised data information equipment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Work instructions are received, analysed and confirmed, as necessary, by site inspection</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C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Relevant requirements and established procedures for the work are communicated to all personnel and identified for all worksites</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C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Work health and safety (WHS)/occupational health and safety (OHS) policies and procedures related to requirements and established procedures for the operation of specialised data information equipment near live electrical apparatus that are used on the pol</w:t>
            </w:r>
            <w:r w:rsidRPr="00A34C73">
              <w:t>es are obtained and confirmed</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C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Work is prioritised and sequenced following consultation with others for completion within acceptable timeframes and in accordance with established procedures</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C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Hazards are identified; WHS/OHS risks assessed and co</w:t>
            </w:r>
            <w:r w:rsidRPr="00A34C73">
              <w:t>ntrol measures prioritised, implemented and monitored according to established procedures</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C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Relevant work permits are obtained, where necessary, to access and perform work according to requirements and/or established procedures</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C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Resources, including specialised data information equipment, tools and personal protective equipment (PPE), required for the job are obtained and confirmed in working order</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C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Relevant person responsible for first aid and/or related work safety procedu</w:t>
            </w:r>
            <w:r w:rsidRPr="00A34C73">
              <w:t>res at the worksite are confirmed in accordance with established procedures to ensure safety measures are followed in the instance of an incident</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C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Liaison and communication issues with appropriate personnel, clients and land owners are resolved to ca</w:t>
            </w:r>
            <w:r w:rsidRPr="00A34C73">
              <w:t xml:space="preserve">rry </w:t>
            </w:r>
            <w:r w:rsidRPr="00A34C73">
              <w:t>out work, where necessary</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C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Site is prepared according to the work schedule and to minimise risk and damage to property, commerce and individuals in accordance with established procedures</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C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Personnel participating in the work are fully brie</w:t>
            </w:r>
            <w:r w:rsidRPr="00A34C73">
              <w:t>fed and respective responsibilities confirmed in accordance with established procedures, where necessary</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C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Traffic management plan is identified and road signs, barriers and warning devices are positioned</w:t>
            </w:r>
            <w:r w:rsidRPr="00A34C73">
              <w:t xml:space="preserve"> in accordance with requirements, where necessary</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C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 xml:space="preserve">Pre-operational checks are undertaken to confirm safe and correct operation of specialised data information equipment for safe use near live </w:t>
            </w:r>
            <w:r w:rsidRPr="00A34C73">
              <w:t>electrical apparatus according to requirements and established procedures</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34C73" w:rsidP="00A34C73">
            <w:pPr>
              <w:pStyle w:val="BodyText"/>
            </w:pPr>
            <w:r w:rsidRPr="00A34C7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34C73" w:rsidP="00A34C73">
            <w:pPr>
              <w:pStyle w:val="BodyText"/>
            </w:pPr>
            <w:r w:rsidRPr="00A34C73">
              <w:rPr>
                <w:rStyle w:val="SpecialBold"/>
              </w:rPr>
              <w:t>Operate specialised data information equipment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WHS/OHS and sustainable energy and environmental principles and practices to reduce the incidents</w:t>
            </w:r>
            <w:r w:rsidRPr="00A34C73">
              <w:t xml:space="preserve"> of accidents and minimise waste are monitored and followed in accordance with requirements and established procedures</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C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Specialised data information equipment is selected appropriate to the task requirements and used to produce desired outcome</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C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Lifting and use of tools and equipment, techniques and practices are safely followed in accordance with established procedures and confirmed to eliminate the prospects of incidents</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C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Specialised data information equipment, techniques and practices ar</w:t>
            </w:r>
            <w:r w:rsidRPr="00A34C73">
              <w:t>e safely followed in accordance with given instructions and requirements and confirmed to eliminate the prospects of incidents, taking into account prevailing site conditions</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C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Hazard warnings and safety signs are recognised, hazards identified and WH</w:t>
            </w:r>
            <w:r w:rsidRPr="00A34C73">
              <w:t>S/OHS risks reported to immediate appropriate personnel for directions according to established procedures</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C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Specialised data information equipment is safely operated near live electrical apparatus in accordance with the work schedule, requirements, i</w:t>
            </w:r>
            <w:r w:rsidRPr="00A34C73">
              <w:t>nstructions and established procedures</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C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Non-routine events are referred to immediate appropriate personnel for directions according to established procedures</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C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Problems associated with the operation of specialised data information equipment near live electrical apparatus is attended to using acquired known solutions and skills related to routine procedures to ensure work instructions and established procedures ar</w:t>
            </w:r>
            <w:r w:rsidRPr="00A34C73">
              <w:t>e met</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C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Unplanned events during the operation of specialised data information equipment near live electrical apparatus are responded to within the scope of established procedures</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C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Known solutions to a variety of problems are applied using acqui</w:t>
            </w:r>
            <w:r w:rsidRPr="00A34C73">
              <w:t>red knowledge and associated skills</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C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Ongoing checks of quality of the work are undertaken in accordance with instructions and established procedures</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34C73" w:rsidP="00A34C73">
            <w:pPr>
              <w:pStyle w:val="BodyText"/>
            </w:pPr>
            <w:r w:rsidRPr="00A34C7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34C73" w:rsidP="00A34C73">
            <w:pPr>
              <w:pStyle w:val="BodyText"/>
            </w:pPr>
            <w:r w:rsidRPr="00A34C73">
              <w:rPr>
                <w:rStyle w:val="SpecialBold"/>
              </w:rPr>
              <w:t>Complete the operation of the specialised data information equipment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Work undertaken is checked against work schedule for conformance with requirements and anomalies reported in accordance with established procedures</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C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3</w:t>
            </w:r>
            <w:r w:rsidRPr="00A34C73">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Accidents and/or injuries are reported in accordance with requirements/established procedures, where applicable</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C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Worksite is rehabilitated, cleaned up and made safe in accordance with established procedures</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C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Specialised data information equi</w:t>
            </w:r>
            <w:r w:rsidRPr="00A34C73">
              <w:t>pment is cleaned, checked and returned to storage in accordance with established procedures</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C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Post-operational checks, minor maintenance and/or relevant documentation of specialised data information equipment is conducted according to requirements</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C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t>Relevant work permits are signed off and poles and structures returned to service in accordance with requirements, where required</w:t>
            </w:r>
          </w:p>
        </w:tc>
      </w:tr>
      <w:tr w:rsidTr="00A34C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4C73">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A34C73">
            <w:pPr>
              <w:pStyle w:val="BodyText"/>
              <w:rPr>
                <w:lang w:val="en-NZ"/>
              </w:rPr>
            </w:pPr>
            <w:r w:rsidRPr="00A34C73">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RPr="00A34C73" w:rsidP="00A34C73">
            <w:pPr>
              <w:pStyle w:val="BodyText"/>
            </w:pPr>
            <w:r w:rsidRPr="00A34C73">
              <w:t>Work completion records, reports and/or documentation and information are finalised and processed and appropriate p</w:t>
            </w:r>
            <w:r w:rsidRPr="00A34C73">
              <w:t>ersonnel notified in accordance with established procedures</w:t>
            </w:r>
          </w:p>
        </w:tc>
      </w:tr>
    </w:tbl>
    <w:p w:rsidR="00000000" w:rsidRPr="00A34C73" w:rsidP="00A34C73">
      <w:pPr>
        <w:pStyle w:val="NoPaddingFontSize1"/>
      </w:pPr>
    </w:p>
    <w:p w:rsidR="00000000" w:rsidRPr="00A34C73" w:rsidP="00A34C73">
      <w:pPr>
        <w:pStyle w:val="AllowPageBreak"/>
      </w:pPr>
    </w:p>
    <w:p w:rsidR="00000000" w:rsidRPr="00A34C73" w:rsidP="00A34C73">
      <w:pPr>
        <w:pStyle w:val="Heading1"/>
      </w:pPr>
      <w:bookmarkStart w:id="7" w:name="O_1003047"/>
      <w:bookmarkEnd w:id="7"/>
      <w:r w:rsidRPr="00A34C73">
        <w:t>Foundation Skills</w:t>
      </w:r>
    </w:p>
    <w:tbl>
      <w:tblPr>
        <w:tblW w:w="9497" w:type="dxa"/>
        <w:tblLayout w:type="fixed"/>
        <w:tblCellMar>
          <w:left w:w="62" w:type="dxa"/>
          <w:right w:w="62" w:type="dxa"/>
        </w:tblCellMar>
        <w:tblLook w:val="0000"/>
      </w:tblPr>
      <w:tblGrid>
        <w:gridCol w:w="9497"/>
      </w:tblGrid>
      <w:tr w:rsidTr="00A34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C73" w:rsidP="00A34C73">
            <w:pPr>
              <w:pStyle w:val="BodyText"/>
            </w:pPr>
            <w:r w:rsidRPr="00A34C73">
              <w:t>Foundation skills essential to performance are explicit in the performance criteria of this unit of competency.</w:t>
            </w:r>
          </w:p>
        </w:tc>
      </w:tr>
    </w:tbl>
    <w:p w:rsidR="00000000" w:rsidRPr="00A34C73" w:rsidP="00A34C73">
      <w:pPr>
        <w:pStyle w:val="NoPaddingFontSize1"/>
      </w:pPr>
    </w:p>
    <w:p w:rsidR="00000000" w:rsidRPr="00A34C73" w:rsidP="00A34C73">
      <w:pPr>
        <w:pStyle w:val="AllowPageBreak"/>
      </w:pPr>
    </w:p>
    <w:p w:rsidR="00000000" w:rsidRPr="00A34C73" w:rsidP="00A34C73">
      <w:pPr>
        <w:pStyle w:val="Heading1"/>
      </w:pPr>
      <w:bookmarkStart w:id="8" w:name="O_1003048"/>
      <w:bookmarkEnd w:id="8"/>
      <w:r w:rsidRPr="00A34C73">
        <w:t>Range of Conditions</w:t>
      </w:r>
    </w:p>
    <w:tbl>
      <w:tblPr>
        <w:tblW w:w="9497" w:type="dxa"/>
        <w:tblLayout w:type="fixed"/>
        <w:tblCellMar>
          <w:left w:w="62" w:type="dxa"/>
          <w:right w:w="62" w:type="dxa"/>
        </w:tblCellMar>
        <w:tblLook w:val="0000"/>
      </w:tblPr>
      <w:tblGrid>
        <w:gridCol w:w="9497"/>
      </w:tblGrid>
      <w:tr w:rsidTr="00A34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C73" w:rsidP="00A34C73">
            <w:pPr>
              <w:pStyle w:val="BodyText"/>
            </w:pPr>
            <w:r w:rsidRPr="00A34C73">
              <w:t>Range is restricted to essential operating conditions and any other variables essential to the work environment.</w:t>
            </w:r>
          </w:p>
          <w:p w:rsidR="00000000" w:rsidRPr="00A34C73" w:rsidP="00A34C73">
            <w:pPr>
              <w:pStyle w:val="BodyText"/>
            </w:pPr>
            <w:r w:rsidRPr="00A34C73">
              <w:t>Non-essential conditions may be found in the Companion Volume Implementation Guide.</w:t>
            </w:r>
          </w:p>
        </w:tc>
      </w:tr>
    </w:tbl>
    <w:p w:rsidR="00000000" w:rsidRPr="00A34C73" w:rsidP="00A34C73">
      <w:pPr>
        <w:pStyle w:val="NoPaddingFontSize1"/>
      </w:pPr>
    </w:p>
    <w:p w:rsidR="00000000" w:rsidRPr="00A34C73" w:rsidP="00A34C73">
      <w:pPr>
        <w:pStyle w:val="AllowPageBreak"/>
      </w:pPr>
    </w:p>
    <w:p w:rsidR="00000000" w:rsidRPr="00A34C73" w:rsidP="00A34C73">
      <w:pPr>
        <w:pStyle w:val="Heading1"/>
      </w:pPr>
      <w:bookmarkStart w:id="9" w:name="O_1003049"/>
      <w:bookmarkEnd w:id="9"/>
      <w:r w:rsidRPr="00A34C73">
        <w:t>Unit Mapping Information</w:t>
      </w:r>
    </w:p>
    <w:tbl>
      <w:tblPr>
        <w:tblW w:w="9497" w:type="dxa"/>
        <w:tblLayout w:type="fixed"/>
        <w:tblCellMar>
          <w:left w:w="62" w:type="dxa"/>
          <w:right w:w="62" w:type="dxa"/>
        </w:tblCellMar>
        <w:tblLook w:val="0000"/>
      </w:tblPr>
      <w:tblGrid>
        <w:gridCol w:w="9497"/>
      </w:tblGrid>
      <w:tr w:rsidTr="00A34C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C73" w:rsidP="00A34C73">
            <w:pPr>
              <w:pStyle w:val="BodyText"/>
            </w:pPr>
            <w:r w:rsidRPr="00A34C73">
              <w:t>This unit rep</w:t>
            </w:r>
            <w:r w:rsidRPr="00A34C73">
              <w:t>laces and is equivalent to UETTDREL21A Operate specialised data information equipment near live electrical apparatus.</w:t>
            </w:r>
          </w:p>
        </w:tc>
      </w:tr>
    </w:tbl>
    <w:p w:rsidR="00000000" w:rsidRPr="00A34C73" w:rsidP="00A34C73">
      <w:pPr>
        <w:pStyle w:val="NoPaddingFontSize1"/>
      </w:pPr>
    </w:p>
    <w:p w:rsidR="00000000" w:rsidRPr="00A34C73" w:rsidP="00A34C73">
      <w:pPr>
        <w:pStyle w:val="AllowPageBreak"/>
      </w:pPr>
    </w:p>
    <w:p w:rsidR="00000000" w:rsidRPr="00A34C73" w:rsidP="00A34C73">
      <w:pPr>
        <w:pStyle w:val="Heading1"/>
      </w:pPr>
      <w:bookmarkStart w:id="10" w:name="O_1003056"/>
      <w:bookmarkEnd w:id="10"/>
      <w:r w:rsidRPr="00A34C73">
        <w:t>Links</w:t>
      </w:r>
    </w:p>
    <w:p w:rsidR="00000000" w:rsidRPr="00A34C73" w:rsidP="00D36C97">
      <w:pPr>
        <w:pStyle w:val="BodyText"/>
      </w:pPr>
      <w:r w:rsidRPr="00A34C73">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D46734">
        <w:rPr>
          <w:rStyle w:val="Hyperlink"/>
        </w:rPr>
        <w:t>https://vetnet.gov.au/Pages/TrainingDocs.aspx?q=229bace1-b7bc-4653-9300-dffb13ecfad7</w:t>
      </w:r>
      <w:r>
        <w:fldChar w:fldCharType="end"/>
      </w:r>
    </w:p>
    <w:p w:rsidR="00000000" w:rsidRPr="00A34C73" w:rsidP="00A34C73"/>
    <w:sectPr w:rsidSect="00A34C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C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C73" w:rsidRPr="00D36C97" w:rsidP="00D36C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C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C97" w:rsidP="00A34C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6C97" w:rsidP="00A34C7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36C97" w:rsidP="00A34C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C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C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4C73" w:rsidRPr="00D36C97" w:rsidP="00D36C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C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C97" w:rsidRPr="002D2AF8" w:rsidP="00A34C73">
    <w:pPr>
      <w:pStyle w:val="Header"/>
      <w:framePr w:wrap="around"/>
    </w:pPr>
    <w:r>
      <w:fldChar w:fldCharType="begin"/>
    </w:r>
    <w:r>
      <w:instrText xml:space="preserve"> TITLE   \* MERGEFORMAT </w:instrText>
    </w:r>
    <w:r>
      <w:fldChar w:fldCharType="separate"/>
    </w:r>
    <w:r>
      <w:t>UETTDREL21 Operate specialised data information equipment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D36C97" w:rsidP="00A34C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C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4C73"/>
    <w:pPr>
      <w:spacing w:before="360" w:after="60"/>
      <w:outlineLvl w:val="0"/>
    </w:pPr>
    <w:rPr>
      <w:sz w:val="32"/>
    </w:rPr>
  </w:style>
  <w:style w:type="paragraph" w:styleId="Heading2">
    <w:name w:val="heading 2"/>
    <w:basedOn w:val="HeadingBase"/>
    <w:next w:val="BodyText"/>
    <w:link w:val="Heading2Char"/>
    <w:qFormat/>
    <w:rsid w:val="00A34C73"/>
    <w:pPr>
      <w:keepLines/>
      <w:spacing w:before="240" w:after="120"/>
      <w:outlineLvl w:val="1"/>
    </w:pPr>
    <w:rPr>
      <w:sz w:val="28"/>
      <w:szCs w:val="40"/>
    </w:rPr>
  </w:style>
  <w:style w:type="paragraph" w:styleId="Heading3">
    <w:name w:val="heading 3"/>
    <w:basedOn w:val="HeadingBase"/>
    <w:next w:val="BodyText"/>
    <w:link w:val="Heading3Char"/>
    <w:qFormat/>
    <w:rsid w:val="00A34C73"/>
    <w:pPr>
      <w:spacing w:before="180" w:after="120"/>
      <w:outlineLvl w:val="2"/>
    </w:pPr>
    <w:rPr>
      <w:spacing w:val="-10"/>
      <w:kern w:val="32"/>
    </w:rPr>
  </w:style>
  <w:style w:type="paragraph" w:styleId="Heading4">
    <w:name w:val="heading 4"/>
    <w:basedOn w:val="HeadingBase"/>
    <w:next w:val="BodyText"/>
    <w:link w:val="Heading4Char"/>
    <w:qFormat/>
    <w:rsid w:val="00A34C73"/>
    <w:pPr>
      <w:spacing w:before="160" w:after="120"/>
      <w:outlineLvl w:val="3"/>
    </w:pPr>
    <w:rPr>
      <w:sz w:val="22"/>
    </w:rPr>
  </w:style>
  <w:style w:type="paragraph" w:styleId="Heading5">
    <w:name w:val="heading 5"/>
    <w:basedOn w:val="HeadingBase"/>
    <w:next w:val="Normal"/>
    <w:link w:val="Heading5Char"/>
    <w:qFormat/>
    <w:rsid w:val="00A34C73"/>
    <w:pPr>
      <w:spacing w:before="80"/>
      <w:outlineLvl w:val="4"/>
    </w:pPr>
    <w:rPr>
      <w:color w:val="918585"/>
      <w:sz w:val="20"/>
    </w:rPr>
  </w:style>
  <w:style w:type="paragraph" w:styleId="Heading6">
    <w:name w:val="heading 6"/>
    <w:basedOn w:val="HeadingBase"/>
    <w:next w:val="Normal"/>
    <w:link w:val="Heading6Char"/>
    <w:qFormat/>
    <w:rsid w:val="00A34C73"/>
    <w:pPr>
      <w:spacing w:before="60"/>
      <w:outlineLvl w:val="5"/>
    </w:pPr>
    <w:rPr>
      <w:color w:val="918585"/>
      <w:sz w:val="20"/>
    </w:rPr>
  </w:style>
  <w:style w:type="paragraph" w:styleId="Heading7">
    <w:name w:val="heading 7"/>
    <w:basedOn w:val="Normal"/>
    <w:next w:val="Normal"/>
    <w:link w:val="Heading7Char"/>
    <w:qFormat/>
    <w:rsid w:val="00A34C73"/>
    <w:pPr>
      <w:ind w:left="720"/>
      <w:outlineLvl w:val="6"/>
    </w:pPr>
    <w:rPr>
      <w:i/>
    </w:rPr>
  </w:style>
  <w:style w:type="paragraph" w:styleId="Heading8">
    <w:name w:val="heading 8"/>
    <w:basedOn w:val="Normal"/>
    <w:next w:val="Normal"/>
    <w:link w:val="Heading8Char"/>
    <w:qFormat/>
    <w:rsid w:val="00A34C73"/>
    <w:pPr>
      <w:ind w:left="720"/>
      <w:outlineLvl w:val="7"/>
    </w:pPr>
    <w:rPr>
      <w:i/>
    </w:rPr>
  </w:style>
  <w:style w:type="paragraph" w:styleId="Heading9">
    <w:name w:val="heading 9"/>
    <w:basedOn w:val="Normal"/>
    <w:next w:val="Normal"/>
    <w:link w:val="Heading9Char"/>
    <w:qFormat/>
    <w:rsid w:val="00A34C73"/>
    <w:pPr>
      <w:ind w:left="720"/>
      <w:outlineLvl w:val="8"/>
    </w:pPr>
    <w:rPr>
      <w:i/>
    </w:rPr>
  </w:style>
  <w:style w:type="character" w:default="1" w:styleId="DefaultParagraphFont">
    <w:name w:val="Default Paragraph Font"/>
    <w:uiPriority w:val="1"/>
    <w:unhideWhenUsed/>
    <w:rsid w:val="00A34C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C73"/>
  </w:style>
  <w:style w:type="character" w:customStyle="1" w:styleId="Heading1Char">
    <w:name w:val="Heading 1 Char"/>
    <w:basedOn w:val="DefaultParagraphFont"/>
    <w:link w:val="Heading1"/>
    <w:rsid w:val="00A34C73"/>
    <w:rPr>
      <w:rFonts w:ascii="Times New Roman" w:eastAsia="Times New Roman" w:hAnsi="Times New Roman" w:cs="Times New Roman"/>
      <w:b/>
      <w:sz w:val="32"/>
      <w:szCs w:val="20"/>
      <w:lang w:eastAsia="en-US"/>
    </w:rPr>
  </w:style>
  <w:style w:type="paragraph" w:styleId="BodyText">
    <w:name w:val="Body Text"/>
    <w:basedOn w:val="Normal"/>
    <w:link w:val="BodyTextChar"/>
    <w:rsid w:val="00A34C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4C73"/>
    <w:rPr>
      <w:rFonts w:ascii="Times New Roman" w:eastAsia="Times New Roman" w:hAnsi="Times New Roman" w:cs="Times New Roman"/>
      <w:sz w:val="24"/>
      <w:lang w:eastAsia="en-US"/>
    </w:rPr>
  </w:style>
  <w:style w:type="character" w:customStyle="1" w:styleId="SpecialBold">
    <w:name w:val="Special Bold"/>
    <w:basedOn w:val="DefaultParagraphFont"/>
    <w:rsid w:val="00A34C73"/>
    <w:rPr>
      <w:b/>
      <w:spacing w:val="0"/>
    </w:rPr>
  </w:style>
  <w:style w:type="paragraph" w:customStyle="1" w:styleId="SuperHeading">
    <w:name w:val="SuperHeading"/>
    <w:basedOn w:val="Normal"/>
    <w:rsid w:val="00A34C73"/>
    <w:pPr>
      <w:spacing w:before="240" w:after="120"/>
      <w:outlineLvl w:val="0"/>
    </w:pPr>
    <w:rPr>
      <w:rFonts w:ascii="Times New Roman" w:hAnsi="Times New Roman"/>
      <w:b/>
      <w:sz w:val="32"/>
    </w:rPr>
  </w:style>
  <w:style w:type="paragraph" w:customStyle="1" w:styleId="AllowPageBreak">
    <w:name w:val="AllowPageBreak"/>
    <w:rsid w:val="00A34C7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34C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C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C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C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C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C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4C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4C73"/>
    <w:rPr>
      <w:rFonts w:ascii="Courier New" w:eastAsia="Times New Roman" w:hAnsi="Courier New" w:cs="Times New Roman"/>
      <w:i/>
      <w:szCs w:val="20"/>
      <w:lang w:eastAsia="en-US"/>
    </w:rPr>
  </w:style>
  <w:style w:type="paragraph" w:customStyle="1" w:styleId="HeadingBase">
    <w:name w:val="Heading Base"/>
    <w:rsid w:val="00A34C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C73"/>
    <w:pPr>
      <w:tabs>
        <w:tab w:val="right" w:leader="dot" w:pos="9072"/>
      </w:tabs>
      <w:ind w:left="567"/>
    </w:pPr>
    <w:rPr>
      <w:szCs w:val="22"/>
    </w:rPr>
  </w:style>
  <w:style w:type="paragraph" w:customStyle="1" w:styleId="TOCBase">
    <w:name w:val="TOC Base"/>
    <w:rsid w:val="00A34C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C73"/>
    <w:pPr>
      <w:tabs>
        <w:tab w:val="right" w:leader="dot" w:pos="9072"/>
      </w:tabs>
      <w:spacing w:before="40" w:after="40"/>
      <w:ind w:left="284"/>
    </w:pPr>
    <w:rPr>
      <w:rFonts w:ascii="Times New Roman" w:hAnsi="Times New Roman"/>
    </w:rPr>
  </w:style>
  <w:style w:type="paragraph" w:styleId="TOC1">
    <w:name w:val="toc 1"/>
    <w:basedOn w:val="TOCBase"/>
    <w:next w:val="Normal"/>
    <w:rsid w:val="00A34C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4C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C73"/>
    <w:rPr>
      <w:rFonts w:ascii="Times New Roman" w:eastAsia="Times New Roman" w:hAnsi="Times New Roman" w:cs="Times New Roman"/>
      <w:sz w:val="16"/>
      <w:lang w:eastAsia="en-US"/>
    </w:rPr>
  </w:style>
  <w:style w:type="paragraph" w:styleId="Title">
    <w:name w:val="Title"/>
    <w:basedOn w:val="HeadingBase"/>
    <w:link w:val="TitleChar"/>
    <w:qFormat/>
    <w:rsid w:val="00A34C73"/>
    <w:pPr>
      <w:spacing w:before="5040"/>
      <w:jc w:val="center"/>
    </w:pPr>
    <w:rPr>
      <w:sz w:val="48"/>
      <w:szCs w:val="72"/>
      <w:lang w:val="en-US"/>
    </w:rPr>
  </w:style>
  <w:style w:type="character" w:customStyle="1" w:styleId="TitleChar">
    <w:name w:val="Title Char"/>
    <w:basedOn w:val="DefaultParagraphFont"/>
    <w:link w:val="Title"/>
    <w:rsid w:val="00A34C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C73"/>
    <w:pPr>
      <w:tabs>
        <w:tab w:val="left" w:pos="3600"/>
        <w:tab w:val="left" w:pos="3958"/>
      </w:tabs>
    </w:pPr>
  </w:style>
  <w:style w:type="paragraph" w:styleId="List">
    <w:name w:val="List"/>
    <w:basedOn w:val="BodyText"/>
    <w:next w:val="BodyText"/>
    <w:rsid w:val="00A34C73"/>
    <w:pPr>
      <w:tabs>
        <w:tab w:val="left" w:pos="340"/>
      </w:tabs>
      <w:spacing w:before="60" w:after="60"/>
      <w:ind w:left="340" w:hanging="340"/>
    </w:pPr>
  </w:style>
  <w:style w:type="paragraph" w:styleId="ListBullet">
    <w:name w:val="List Bullet"/>
    <w:basedOn w:val="List"/>
    <w:rsid w:val="00A34C73"/>
    <w:pPr>
      <w:numPr>
        <w:numId w:val="10"/>
      </w:numPr>
      <w:tabs>
        <w:tab w:val="clear" w:pos="340"/>
      </w:tabs>
      <w:spacing w:before="40" w:after="40"/>
    </w:pPr>
  </w:style>
  <w:style w:type="paragraph" w:customStyle="1" w:styleId="Note">
    <w:name w:val="Note"/>
    <w:basedOn w:val="BodyText"/>
    <w:rsid w:val="00A34C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4C73"/>
    <w:pPr>
      <w:framePr w:wrap="auto" w:hAnchor="text" w:y="6049"/>
    </w:pPr>
    <w:rPr>
      <w:color w:val="000000"/>
      <w:sz w:val="40"/>
    </w:rPr>
  </w:style>
  <w:style w:type="paragraph" w:customStyle="1" w:styleId="TOCTitle">
    <w:name w:val="TOCTitle"/>
    <w:basedOn w:val="Heading1"/>
    <w:rsid w:val="00A34C73"/>
    <w:pPr>
      <w:spacing w:after="240"/>
      <w:jc w:val="center"/>
      <w:outlineLvl w:val="9"/>
    </w:pPr>
    <w:rPr>
      <w:caps/>
    </w:rPr>
  </w:style>
  <w:style w:type="paragraph" w:customStyle="1" w:styleId="Version">
    <w:name w:val="Version"/>
    <w:rsid w:val="00A34C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4C73"/>
    <w:pPr>
      <w:numPr>
        <w:numId w:val="11"/>
      </w:numPr>
      <w:tabs>
        <w:tab w:val="clear" w:pos="680"/>
      </w:tabs>
    </w:pPr>
  </w:style>
  <w:style w:type="paragraph" w:styleId="Index1">
    <w:name w:val="index 1"/>
    <w:basedOn w:val="Normal"/>
    <w:next w:val="Normal"/>
    <w:semiHidden/>
    <w:rsid w:val="00A34C73"/>
    <w:pPr>
      <w:keepNext w:val="0"/>
      <w:tabs>
        <w:tab w:val="right" w:pos="4176"/>
      </w:tabs>
      <w:ind w:left="198" w:hanging="198"/>
    </w:pPr>
    <w:rPr>
      <w:rFonts w:ascii="Garamond" w:hAnsi="Garamond"/>
    </w:rPr>
  </w:style>
  <w:style w:type="paragraph" w:styleId="IndexHeading">
    <w:name w:val="index heading"/>
    <w:basedOn w:val="Normal"/>
    <w:next w:val="Index1"/>
    <w:semiHidden/>
    <w:rsid w:val="00A34C73"/>
    <w:pPr>
      <w:spacing w:before="120" w:after="120"/>
    </w:pPr>
    <w:rPr>
      <w:rFonts w:ascii="Arial" w:hAnsi="Arial"/>
      <w:b/>
      <w:color w:val="918585"/>
      <w:sz w:val="24"/>
    </w:rPr>
  </w:style>
  <w:style w:type="paragraph" w:styleId="Header">
    <w:name w:val="header"/>
    <w:basedOn w:val="Normal"/>
    <w:link w:val="HeaderChar"/>
    <w:rsid w:val="00A34C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C73"/>
    <w:rPr>
      <w:rFonts w:ascii="Times New Roman" w:eastAsia="Times New Roman" w:hAnsi="Times New Roman" w:cs="Times New Roman"/>
      <w:sz w:val="16"/>
      <w:szCs w:val="20"/>
      <w:lang w:val="en-GB" w:eastAsia="en-US"/>
    </w:rPr>
  </w:style>
  <w:style w:type="paragraph" w:customStyle="1" w:styleId="Chapter">
    <w:name w:val="Chapter"/>
    <w:basedOn w:val="Normal"/>
    <w:rsid w:val="00A34C73"/>
    <w:pPr>
      <w:spacing w:before="240"/>
    </w:pPr>
    <w:rPr>
      <w:rFonts w:ascii="Times New Roman" w:hAnsi="Times New Roman"/>
      <w:smallCaps/>
      <w:spacing w:val="80"/>
      <w:sz w:val="28"/>
    </w:rPr>
  </w:style>
  <w:style w:type="paragraph" w:customStyle="1" w:styleId="InChapter">
    <w:name w:val="InChapter"/>
    <w:basedOn w:val="Heading3"/>
    <w:rsid w:val="00A34C73"/>
    <w:pPr>
      <w:spacing w:after="240"/>
      <w:outlineLvl w:val="9"/>
    </w:pPr>
    <w:rPr>
      <w:noProof/>
    </w:rPr>
  </w:style>
  <w:style w:type="paragraph" w:styleId="Index2">
    <w:name w:val="index 2"/>
    <w:basedOn w:val="Normal"/>
    <w:next w:val="Normal"/>
    <w:semiHidden/>
    <w:rsid w:val="00A34C73"/>
    <w:pPr>
      <w:tabs>
        <w:tab w:val="right" w:pos="4176"/>
      </w:tabs>
      <w:ind w:left="568" w:hanging="284"/>
    </w:pPr>
    <w:rPr>
      <w:rFonts w:ascii="Garamond" w:hAnsi="Garamond"/>
    </w:rPr>
  </w:style>
  <w:style w:type="paragraph" w:customStyle="1" w:styleId="Byline">
    <w:name w:val="Byline"/>
    <w:rsid w:val="00A34C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C73"/>
    <w:pPr>
      <w:tabs>
        <w:tab w:val="clear" w:pos="3600"/>
        <w:tab w:val="clear" w:pos="3958"/>
      </w:tabs>
      <w:jc w:val="right"/>
    </w:pPr>
  </w:style>
  <w:style w:type="character" w:styleId="Emphasis">
    <w:name w:val="Emphasis"/>
    <w:basedOn w:val="DefaultParagraphFont"/>
    <w:qFormat/>
    <w:rsid w:val="00A34C73"/>
    <w:rPr>
      <w:i/>
    </w:rPr>
  </w:style>
  <w:style w:type="paragraph" w:styleId="Caption">
    <w:name w:val="caption"/>
    <w:basedOn w:val="BodyText"/>
    <w:next w:val="Normal"/>
    <w:qFormat/>
    <w:rsid w:val="00A34C73"/>
    <w:pPr>
      <w:framePr w:w="2268" w:hSpace="181" w:vSpace="181" w:wrap="around" w:vAnchor="text" w:hAnchor="page" w:x="1135" w:y="285" w:anchorLock="1"/>
    </w:pPr>
    <w:rPr>
      <w:i/>
    </w:rPr>
  </w:style>
  <w:style w:type="paragraph" w:customStyle="1" w:styleId="MiniTOCTitle">
    <w:name w:val="MiniTOCTitle"/>
    <w:basedOn w:val="Heading4"/>
    <w:rsid w:val="00A34C73"/>
    <w:pPr>
      <w:spacing w:before="240"/>
      <w:outlineLvl w:val="9"/>
    </w:pPr>
    <w:rPr>
      <w:noProof/>
      <w:sz w:val="24"/>
    </w:rPr>
  </w:style>
  <w:style w:type="paragraph" w:customStyle="1" w:styleId="MiniTOCItem">
    <w:name w:val="MiniTOCItem"/>
    <w:basedOn w:val="ListBullet"/>
    <w:rsid w:val="00A34C73"/>
    <w:pPr>
      <w:numPr>
        <w:numId w:val="0"/>
      </w:numPr>
      <w:tabs>
        <w:tab w:val="right" w:leader="dot" w:pos="6521"/>
      </w:tabs>
      <w:spacing w:before="0" w:after="0"/>
    </w:pPr>
  </w:style>
  <w:style w:type="paragraph" w:customStyle="1" w:styleId="TOFTitle">
    <w:name w:val="TOFTitle"/>
    <w:basedOn w:val="TOCTitle"/>
    <w:rsid w:val="00A34C73"/>
  </w:style>
  <w:style w:type="paragraph" w:styleId="TableofFigures">
    <w:name w:val="table of figures"/>
    <w:basedOn w:val="Normal"/>
    <w:next w:val="Normal"/>
    <w:semiHidden/>
    <w:rsid w:val="00A34C73"/>
    <w:pPr>
      <w:tabs>
        <w:tab w:val="right" w:leader="dot" w:pos="9072"/>
      </w:tabs>
      <w:ind w:left="970" w:hanging="403"/>
    </w:pPr>
    <w:rPr>
      <w:rFonts w:ascii="Times New Roman" w:hAnsi="Times New Roman"/>
      <w:b/>
    </w:rPr>
  </w:style>
  <w:style w:type="paragraph" w:styleId="ListNumber">
    <w:name w:val="List Number"/>
    <w:basedOn w:val="List"/>
    <w:rsid w:val="00A34C73"/>
    <w:pPr>
      <w:numPr>
        <w:numId w:val="13"/>
      </w:numPr>
      <w:tabs>
        <w:tab w:val="clear" w:pos="340"/>
      </w:tabs>
    </w:pPr>
  </w:style>
  <w:style w:type="character" w:customStyle="1" w:styleId="WingdingSymbols">
    <w:name w:val="Wingding Symbols"/>
    <w:rsid w:val="00A34C73"/>
    <w:rPr>
      <w:rFonts w:ascii="Wingdings" w:hAnsi="Wingdings"/>
    </w:rPr>
  </w:style>
  <w:style w:type="paragraph" w:customStyle="1" w:styleId="TableHeading">
    <w:name w:val="Table Heading"/>
    <w:basedOn w:val="HeadingBase"/>
    <w:rsid w:val="00A34C73"/>
    <w:pPr>
      <w:keepLines/>
      <w:pBdr>
        <w:bottom w:val="single" w:sz="6" w:space="1" w:color="918585"/>
      </w:pBdr>
      <w:spacing w:before="240"/>
    </w:pPr>
  </w:style>
  <w:style w:type="character" w:customStyle="1" w:styleId="HotSpot">
    <w:name w:val="HotSpot"/>
    <w:rsid w:val="00A34C73"/>
    <w:rPr>
      <w:color w:val="0033CC"/>
      <w:u w:val="none"/>
    </w:rPr>
  </w:style>
  <w:style w:type="paragraph" w:customStyle="1" w:styleId="BodyTextRight">
    <w:name w:val="Body Text Right"/>
    <w:basedOn w:val="BodyText"/>
    <w:rsid w:val="00A34C73"/>
    <w:pPr>
      <w:spacing w:before="0" w:after="0"/>
      <w:jc w:val="right"/>
    </w:pPr>
  </w:style>
  <w:style w:type="paragraph" w:styleId="Index3">
    <w:name w:val="index 3"/>
    <w:basedOn w:val="ListNumber2"/>
    <w:next w:val="Normal"/>
    <w:semiHidden/>
    <w:rsid w:val="00A34C73"/>
    <w:pPr>
      <w:numPr>
        <w:numId w:val="0"/>
      </w:numPr>
      <w:tabs>
        <w:tab w:val="right" w:leader="dot" w:pos="4176"/>
      </w:tabs>
    </w:pPr>
  </w:style>
  <w:style w:type="paragraph" w:styleId="ListNumber2">
    <w:name w:val="List Number 2"/>
    <w:basedOn w:val="List2"/>
    <w:rsid w:val="00A34C73"/>
    <w:pPr>
      <w:numPr>
        <w:numId w:val="8"/>
      </w:numPr>
      <w:tabs>
        <w:tab w:val="clear" w:pos="1060"/>
      </w:tabs>
    </w:pPr>
  </w:style>
  <w:style w:type="paragraph" w:customStyle="1" w:styleId="MarginNote">
    <w:name w:val="Margin Note"/>
    <w:basedOn w:val="BodyText"/>
    <w:rsid w:val="00A34C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C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C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4C73"/>
    <w:rPr>
      <w:sz w:val="32"/>
    </w:rPr>
  </w:style>
  <w:style w:type="paragraph" w:customStyle="1" w:styleId="HeadingProcedure">
    <w:name w:val="Heading Procedure"/>
    <w:basedOn w:val="HeadingBase"/>
    <w:next w:val="Normal"/>
    <w:rsid w:val="00A34C73"/>
    <w:pPr>
      <w:tabs>
        <w:tab w:val="left" w:pos="0"/>
      </w:tabs>
      <w:spacing w:before="120" w:after="60"/>
    </w:pPr>
    <w:rPr>
      <w:i/>
      <w:color w:val="918585"/>
      <w:sz w:val="22"/>
    </w:rPr>
  </w:style>
  <w:style w:type="paragraph" w:customStyle="1" w:styleId="TableBodyText">
    <w:name w:val="Table Body Text"/>
    <w:basedOn w:val="BodyText"/>
    <w:rsid w:val="00A34C73"/>
    <w:pPr>
      <w:spacing w:before="60" w:after="60"/>
    </w:pPr>
  </w:style>
  <w:style w:type="paragraph" w:styleId="ListContinue">
    <w:name w:val="List Continue"/>
    <w:basedOn w:val="List"/>
    <w:rsid w:val="00A34C73"/>
    <w:pPr>
      <w:ind w:firstLine="0"/>
    </w:pPr>
  </w:style>
  <w:style w:type="paragraph" w:customStyle="1" w:styleId="ListNote">
    <w:name w:val="List Note"/>
    <w:basedOn w:val="List"/>
    <w:rsid w:val="00A34C73"/>
    <w:pPr>
      <w:pBdr>
        <w:top w:val="single" w:sz="6" w:space="2" w:color="918585"/>
        <w:bottom w:val="single" w:sz="6" w:space="2" w:color="918585"/>
      </w:pBdr>
      <w:tabs>
        <w:tab w:val="left" w:pos="1021"/>
      </w:tabs>
      <w:ind w:firstLine="0"/>
    </w:pPr>
  </w:style>
  <w:style w:type="paragraph" w:customStyle="1" w:styleId="Warning">
    <w:name w:val="Warning"/>
    <w:basedOn w:val="BodyText"/>
    <w:rsid w:val="00A34C73"/>
    <w:pPr>
      <w:shd w:val="clear" w:color="auto" w:fill="D9D9D9"/>
      <w:tabs>
        <w:tab w:val="left" w:pos="992"/>
      </w:tabs>
      <w:ind w:left="119" w:right="119"/>
    </w:pPr>
    <w:rPr>
      <w:sz w:val="20"/>
    </w:rPr>
  </w:style>
  <w:style w:type="paragraph" w:customStyle="1" w:styleId="MarginIcons">
    <w:name w:val="Margin Icons"/>
    <w:basedOn w:val="BodyText"/>
    <w:rsid w:val="00A34C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C73"/>
    <w:rPr>
      <w:rFonts w:ascii="Courier New" w:hAnsi="Courier New"/>
    </w:rPr>
  </w:style>
  <w:style w:type="paragraph" w:customStyle="1" w:styleId="NoteBullet">
    <w:name w:val="Note Bullet"/>
    <w:basedOn w:val="Note"/>
    <w:rsid w:val="00A34C73"/>
    <w:pPr>
      <w:tabs>
        <w:tab w:val="clear" w:pos="680"/>
      </w:tabs>
      <w:spacing w:before="60" w:after="60"/>
    </w:pPr>
  </w:style>
  <w:style w:type="paragraph" w:customStyle="1" w:styleId="SubHeading2">
    <w:name w:val="SubHeading2"/>
    <w:basedOn w:val="HeadingBase"/>
    <w:rsid w:val="00A34C73"/>
    <w:pPr>
      <w:spacing w:before="240" w:after="60"/>
    </w:pPr>
    <w:rPr>
      <w:sz w:val="20"/>
    </w:rPr>
  </w:style>
  <w:style w:type="paragraph" w:customStyle="1" w:styleId="SubHeading1">
    <w:name w:val="SubHeading1"/>
    <w:basedOn w:val="HeadingBase"/>
    <w:rsid w:val="00A34C73"/>
    <w:pPr>
      <w:spacing w:before="240" w:after="60"/>
    </w:pPr>
    <w:rPr>
      <w:color w:val="918585"/>
      <w:sz w:val="22"/>
    </w:rPr>
  </w:style>
  <w:style w:type="paragraph" w:customStyle="1" w:styleId="SideHeading">
    <w:name w:val="Side Heading"/>
    <w:basedOn w:val="HeadingBase"/>
    <w:rsid w:val="00A34C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C73"/>
    <w:pPr>
      <w:numPr>
        <w:numId w:val="9"/>
      </w:numPr>
    </w:pPr>
  </w:style>
  <w:style w:type="paragraph" w:styleId="PlainText">
    <w:name w:val="Plain Text"/>
    <w:basedOn w:val="Normal"/>
    <w:link w:val="PlainTextChar"/>
    <w:rsid w:val="00A34C73"/>
    <w:rPr>
      <w:sz w:val="20"/>
    </w:rPr>
  </w:style>
  <w:style w:type="character" w:customStyle="1" w:styleId="PlainTextChar">
    <w:name w:val="Plain Text Char"/>
    <w:basedOn w:val="DefaultParagraphFont"/>
    <w:link w:val="PlainText"/>
    <w:rsid w:val="00A34C73"/>
    <w:rPr>
      <w:rFonts w:ascii="Courier New" w:eastAsia="Times New Roman" w:hAnsi="Courier New" w:cs="Times New Roman"/>
      <w:sz w:val="20"/>
      <w:szCs w:val="20"/>
      <w:lang w:eastAsia="en-US"/>
    </w:rPr>
  </w:style>
  <w:style w:type="character" w:customStyle="1" w:styleId="MenuOption">
    <w:name w:val="Menu Option"/>
    <w:basedOn w:val="DefaultParagraphFont"/>
    <w:rsid w:val="00A34C73"/>
    <w:rPr>
      <w:b/>
      <w:smallCaps/>
    </w:rPr>
  </w:style>
  <w:style w:type="paragraph" w:customStyle="1" w:styleId="TableListNumber">
    <w:name w:val="Table List Number"/>
    <w:basedOn w:val="ListNumber"/>
    <w:rsid w:val="00A34C73"/>
    <w:pPr>
      <w:numPr>
        <w:numId w:val="0"/>
      </w:numPr>
    </w:pPr>
  </w:style>
  <w:style w:type="paragraph" w:styleId="TOC4">
    <w:name w:val="toc 4"/>
    <w:basedOn w:val="TOCBase"/>
    <w:next w:val="Normal"/>
    <w:semiHidden/>
    <w:rsid w:val="00A34C73"/>
    <w:pPr>
      <w:tabs>
        <w:tab w:val="right" w:leader="dot" w:pos="9071"/>
      </w:tabs>
      <w:ind w:left="1701"/>
    </w:pPr>
  </w:style>
  <w:style w:type="paragraph" w:customStyle="1" w:styleId="ListAlpha">
    <w:name w:val="List Alpha"/>
    <w:basedOn w:val="List"/>
    <w:rsid w:val="00A34C73"/>
    <w:pPr>
      <w:numPr>
        <w:numId w:val="7"/>
      </w:numPr>
    </w:pPr>
  </w:style>
  <w:style w:type="paragraph" w:customStyle="1" w:styleId="ListAlpha2">
    <w:name w:val="List Alpha 2"/>
    <w:basedOn w:val="List2"/>
    <w:rsid w:val="00A34C73"/>
    <w:pPr>
      <w:numPr>
        <w:numId w:val="6"/>
      </w:numPr>
    </w:pPr>
  </w:style>
  <w:style w:type="paragraph" w:styleId="List2">
    <w:name w:val="List 2"/>
    <w:basedOn w:val="BodyText"/>
    <w:rsid w:val="00A34C73"/>
    <w:pPr>
      <w:tabs>
        <w:tab w:val="left" w:pos="680"/>
      </w:tabs>
      <w:spacing w:before="60" w:after="60"/>
      <w:ind w:left="680" w:hanging="340"/>
    </w:pPr>
  </w:style>
  <w:style w:type="paragraph" w:styleId="List3">
    <w:name w:val="List 3"/>
    <w:basedOn w:val="BodyText"/>
    <w:rsid w:val="00A34C73"/>
    <w:pPr>
      <w:tabs>
        <w:tab w:val="left" w:pos="1021"/>
      </w:tabs>
      <w:spacing w:before="60" w:after="60"/>
      <w:ind w:left="1020" w:hanging="340"/>
    </w:pPr>
  </w:style>
  <w:style w:type="paragraph" w:styleId="List4">
    <w:name w:val="List 4"/>
    <w:basedOn w:val="BodyText"/>
    <w:rsid w:val="00A34C73"/>
    <w:pPr>
      <w:tabs>
        <w:tab w:val="left" w:pos="1361"/>
      </w:tabs>
      <w:spacing w:before="60" w:after="60"/>
      <w:ind w:left="1361" w:hanging="340"/>
    </w:pPr>
  </w:style>
  <w:style w:type="paragraph" w:styleId="List5">
    <w:name w:val="List 5"/>
    <w:basedOn w:val="BodyText"/>
    <w:rsid w:val="00A34C73"/>
    <w:pPr>
      <w:tabs>
        <w:tab w:val="left" w:pos="1701"/>
      </w:tabs>
      <w:spacing w:before="60" w:after="60"/>
      <w:ind w:left="1701" w:hanging="340"/>
    </w:pPr>
  </w:style>
  <w:style w:type="paragraph" w:styleId="ListBullet3">
    <w:name w:val="List Bullet 3"/>
    <w:basedOn w:val="List3"/>
    <w:rsid w:val="00A34C73"/>
    <w:pPr>
      <w:numPr>
        <w:numId w:val="12"/>
      </w:numPr>
      <w:tabs>
        <w:tab w:val="clear" w:pos="1021"/>
      </w:tabs>
      <w:ind w:left="1037" w:hanging="357"/>
    </w:pPr>
  </w:style>
  <w:style w:type="paragraph" w:styleId="ListBullet4">
    <w:name w:val="List Bullet 4"/>
    <w:basedOn w:val="List4"/>
    <w:rsid w:val="00A34C73"/>
    <w:pPr>
      <w:numPr>
        <w:numId w:val="1"/>
      </w:numPr>
      <w:tabs>
        <w:tab w:val="clear" w:pos="1361"/>
      </w:tabs>
    </w:pPr>
  </w:style>
  <w:style w:type="paragraph" w:styleId="ListBullet5">
    <w:name w:val="List Bullet 5"/>
    <w:basedOn w:val="List5"/>
    <w:rsid w:val="00A34C73"/>
    <w:pPr>
      <w:numPr>
        <w:numId w:val="2"/>
      </w:numPr>
    </w:pPr>
  </w:style>
  <w:style w:type="paragraph" w:styleId="ListContinue2">
    <w:name w:val="List Continue 2"/>
    <w:basedOn w:val="List2"/>
    <w:rsid w:val="00A34C73"/>
    <w:pPr>
      <w:ind w:firstLine="0"/>
    </w:pPr>
  </w:style>
  <w:style w:type="paragraph" w:styleId="ListContinue3">
    <w:name w:val="List Continue 3"/>
    <w:basedOn w:val="List3"/>
    <w:rsid w:val="00A34C73"/>
    <w:pPr>
      <w:ind w:left="1021" w:firstLine="0"/>
    </w:pPr>
  </w:style>
  <w:style w:type="paragraph" w:styleId="ListContinue4">
    <w:name w:val="List Continue 4"/>
    <w:basedOn w:val="List4"/>
    <w:rsid w:val="00A34C73"/>
    <w:pPr>
      <w:ind w:firstLine="0"/>
    </w:pPr>
  </w:style>
  <w:style w:type="paragraph" w:styleId="ListContinue5">
    <w:name w:val="List Continue 5"/>
    <w:basedOn w:val="List5"/>
    <w:rsid w:val="00A34C73"/>
    <w:pPr>
      <w:ind w:firstLine="0"/>
    </w:pPr>
  </w:style>
  <w:style w:type="paragraph" w:styleId="ListNumber3">
    <w:name w:val="List Number 3"/>
    <w:basedOn w:val="List3"/>
    <w:rsid w:val="00A34C73"/>
    <w:pPr>
      <w:numPr>
        <w:numId w:val="3"/>
      </w:numPr>
    </w:pPr>
  </w:style>
  <w:style w:type="paragraph" w:styleId="ListNumber4">
    <w:name w:val="List Number 4"/>
    <w:basedOn w:val="List4"/>
    <w:rsid w:val="00A34C73"/>
    <w:pPr>
      <w:numPr>
        <w:numId w:val="4"/>
      </w:numPr>
    </w:pPr>
  </w:style>
  <w:style w:type="paragraph" w:styleId="ListNumber5">
    <w:name w:val="List Number 5"/>
    <w:basedOn w:val="List5"/>
    <w:rsid w:val="00A34C73"/>
    <w:pPr>
      <w:numPr>
        <w:numId w:val="5"/>
      </w:numPr>
    </w:pPr>
  </w:style>
  <w:style w:type="paragraph" w:styleId="BlockText">
    <w:name w:val="Block Text"/>
    <w:basedOn w:val="Normal"/>
    <w:rsid w:val="00A34C73"/>
    <w:pPr>
      <w:spacing w:after="120"/>
      <w:ind w:left="1440" w:right="1440"/>
    </w:pPr>
  </w:style>
  <w:style w:type="character" w:customStyle="1" w:styleId="Subscript">
    <w:name w:val="Subscript"/>
    <w:basedOn w:val="DefaultParagraphFont"/>
    <w:rsid w:val="00A34C73"/>
    <w:rPr>
      <w:sz w:val="16"/>
      <w:vertAlign w:val="subscript"/>
    </w:rPr>
  </w:style>
  <w:style w:type="character" w:customStyle="1" w:styleId="Superscript">
    <w:name w:val="Superscript"/>
    <w:basedOn w:val="DefaultParagraphFont"/>
    <w:rsid w:val="00A34C73"/>
    <w:rPr>
      <w:sz w:val="16"/>
      <w:vertAlign w:val="superscript"/>
    </w:rPr>
  </w:style>
  <w:style w:type="character" w:customStyle="1" w:styleId="Symbols">
    <w:name w:val="Symbols"/>
    <w:basedOn w:val="DefaultParagraphFont"/>
    <w:rsid w:val="00A34C73"/>
    <w:rPr>
      <w:rFonts w:ascii="Symbol" w:hAnsi="Symbol"/>
    </w:rPr>
  </w:style>
  <w:style w:type="character" w:customStyle="1" w:styleId="MenuOptions">
    <w:name w:val="Menu Options"/>
    <w:basedOn w:val="DefaultParagraphFont"/>
    <w:rsid w:val="00A34C73"/>
    <w:rPr>
      <w:rFonts w:ascii="Arial Narrow" w:hAnsi="Arial Narrow"/>
      <w:smallCaps/>
    </w:rPr>
  </w:style>
  <w:style w:type="character" w:customStyle="1" w:styleId="Buttons">
    <w:name w:val="Buttons"/>
    <w:basedOn w:val="DefaultParagraphFont"/>
    <w:rsid w:val="00A34C73"/>
    <w:rPr>
      <w:b/>
    </w:rPr>
  </w:style>
  <w:style w:type="character" w:customStyle="1" w:styleId="Underlined">
    <w:name w:val="Underlined"/>
    <w:basedOn w:val="DefaultParagraphFont"/>
    <w:rsid w:val="00A34C73"/>
    <w:rPr>
      <w:u w:val="single"/>
    </w:rPr>
  </w:style>
  <w:style w:type="paragraph" w:customStyle="1" w:styleId="TableBodyTextRight">
    <w:name w:val="Table Body Text Right"/>
    <w:basedOn w:val="TableBodyText"/>
    <w:rsid w:val="00A34C73"/>
    <w:pPr>
      <w:widowControl w:val="0"/>
      <w:autoSpaceDE w:val="0"/>
      <w:autoSpaceDN w:val="0"/>
      <w:adjustRightInd w:val="0"/>
      <w:jc w:val="right"/>
    </w:pPr>
    <w:rPr>
      <w:rFonts w:cs="Arial"/>
      <w:szCs w:val="18"/>
    </w:rPr>
  </w:style>
  <w:style w:type="paragraph" w:customStyle="1" w:styleId="CopyrightText">
    <w:name w:val="Copyright Text"/>
    <w:basedOn w:val="BodyText"/>
    <w:rsid w:val="00A34C73"/>
    <w:rPr>
      <w:sz w:val="18"/>
    </w:rPr>
  </w:style>
  <w:style w:type="paragraph" w:customStyle="1" w:styleId="BodySmallRight">
    <w:name w:val="Body Small Right"/>
    <w:basedOn w:val="BodyTextRight"/>
    <w:rsid w:val="00A34C73"/>
    <w:rPr>
      <w:sz w:val="18"/>
      <w:szCs w:val="18"/>
    </w:rPr>
  </w:style>
  <w:style w:type="paragraph" w:customStyle="1" w:styleId="MarginEdition">
    <w:name w:val="Margin Edition"/>
    <w:basedOn w:val="MarginNote"/>
    <w:rsid w:val="00A34C73"/>
    <w:pPr>
      <w:spacing w:before="0" w:after="0"/>
    </w:pPr>
    <w:rPr>
      <w:rFonts w:ascii="Times New Roman" w:hAnsi="Times New Roman"/>
      <w:color w:val="999999"/>
    </w:rPr>
  </w:style>
  <w:style w:type="paragraph" w:customStyle="1" w:styleId="Spacer">
    <w:name w:val="Spacer"/>
    <w:basedOn w:val="Normal"/>
    <w:rsid w:val="00A34C73"/>
    <w:rPr>
      <w:sz w:val="2"/>
      <w:szCs w:val="2"/>
    </w:rPr>
  </w:style>
  <w:style w:type="character" w:customStyle="1" w:styleId="Small">
    <w:name w:val="Small"/>
    <w:basedOn w:val="DefaultParagraphFont"/>
    <w:rsid w:val="00A34C73"/>
    <w:rPr>
      <w:sz w:val="16"/>
    </w:rPr>
  </w:style>
  <w:style w:type="paragraph" w:customStyle="1" w:styleId="WideTable">
    <w:name w:val="Wide Table"/>
    <w:basedOn w:val="Normal"/>
    <w:rsid w:val="00A34C73"/>
    <w:pPr>
      <w:ind w:left="-1418"/>
    </w:pPr>
    <w:rPr>
      <w:sz w:val="2"/>
      <w:szCs w:val="2"/>
    </w:rPr>
  </w:style>
  <w:style w:type="character" w:styleId="PageNumber">
    <w:name w:val="page number"/>
    <w:basedOn w:val="DefaultParagraphFont"/>
    <w:rsid w:val="00A34C73"/>
  </w:style>
  <w:style w:type="paragraph" w:styleId="Quote">
    <w:name w:val="Quote"/>
    <w:basedOn w:val="Heading1"/>
    <w:link w:val="QuoteChar"/>
    <w:qFormat/>
    <w:rsid w:val="00A34C73"/>
    <w:rPr>
      <w:b w:val="0"/>
      <w:sz w:val="72"/>
      <w:szCs w:val="72"/>
      <w:lang w:val="en-NZ"/>
    </w:rPr>
  </w:style>
  <w:style w:type="character" w:customStyle="1" w:styleId="QuoteChar">
    <w:name w:val="Quote Char"/>
    <w:basedOn w:val="DefaultParagraphFont"/>
    <w:link w:val="Quote"/>
    <w:rsid w:val="00A34C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C73"/>
    <w:pPr>
      <w:pageBreakBefore/>
    </w:pPr>
  </w:style>
  <w:style w:type="paragraph" w:customStyle="1" w:styleId="Border">
    <w:name w:val="Border"/>
    <w:basedOn w:val="Normal"/>
    <w:qFormat/>
    <w:rsid w:val="00A34C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C73"/>
    <w:rPr>
      <w:b/>
      <w:bCs/>
      <w:i/>
      <w:iCs/>
      <w:color w:val="auto"/>
    </w:rPr>
  </w:style>
  <w:style w:type="paragraph" w:styleId="IntenseQuote">
    <w:name w:val="Intense Quote"/>
    <w:basedOn w:val="Normal"/>
    <w:next w:val="Normal"/>
    <w:link w:val="IntenseQuoteChar"/>
    <w:uiPriority w:val="30"/>
    <w:qFormat/>
    <w:rsid w:val="00A34C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C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4C73"/>
    <w:rPr>
      <w:smallCaps/>
      <w:color w:val="auto"/>
      <w:u w:val="single"/>
    </w:rPr>
  </w:style>
  <w:style w:type="character" w:styleId="IntenseReference">
    <w:name w:val="Intense Reference"/>
    <w:basedOn w:val="DefaultParagraphFont"/>
    <w:uiPriority w:val="32"/>
    <w:qFormat/>
    <w:rsid w:val="00A34C73"/>
    <w:rPr>
      <w:b/>
      <w:bCs/>
      <w:smallCaps/>
      <w:color w:val="auto"/>
      <w:spacing w:val="5"/>
      <w:u w:val="single"/>
    </w:rPr>
  </w:style>
  <w:style w:type="paragraph" w:customStyle="1" w:styleId="2ColumnHeading">
    <w:name w:val="2Column Heading"/>
    <w:basedOn w:val="BodyText"/>
    <w:qFormat/>
    <w:rsid w:val="00A34C73"/>
    <w:pPr>
      <w:spacing w:after="60"/>
      <w:ind w:left="-2268"/>
    </w:pPr>
    <w:rPr>
      <w:b/>
    </w:rPr>
  </w:style>
  <w:style w:type="paragraph" w:customStyle="1" w:styleId="Heading1TOC">
    <w:name w:val="Heading1 TOC"/>
    <w:basedOn w:val="Normal"/>
    <w:qFormat/>
    <w:rsid w:val="00A34C73"/>
    <w:pPr>
      <w:spacing w:before="240" w:after="120"/>
    </w:pPr>
    <w:rPr>
      <w:rFonts w:ascii="Times New Roman" w:hAnsi="Times New Roman"/>
      <w:b/>
      <w:sz w:val="32"/>
    </w:rPr>
  </w:style>
  <w:style w:type="paragraph" w:customStyle="1" w:styleId="Heading2TOC">
    <w:name w:val="Heading2 TOC"/>
    <w:basedOn w:val="Normal"/>
    <w:qFormat/>
    <w:rsid w:val="00A34C73"/>
    <w:pPr>
      <w:spacing w:before="240" w:after="60"/>
    </w:pPr>
    <w:rPr>
      <w:rFonts w:ascii="Times New Roman" w:hAnsi="Times New Roman"/>
      <w:b/>
      <w:sz w:val="28"/>
    </w:rPr>
  </w:style>
  <w:style w:type="character" w:customStyle="1" w:styleId="Underline">
    <w:name w:val="Underline"/>
    <w:basedOn w:val="DefaultParagraphFont"/>
    <w:qFormat/>
    <w:rsid w:val="00A34C73"/>
    <w:rPr>
      <w:u w:val="single"/>
    </w:rPr>
  </w:style>
  <w:style w:type="character" w:customStyle="1" w:styleId="BoldandItalics">
    <w:name w:val="Bold and Italics"/>
    <w:qFormat/>
    <w:rsid w:val="00A34C73"/>
    <w:rPr>
      <w:b/>
      <w:i/>
      <w:u w:val="none"/>
    </w:rPr>
  </w:style>
  <w:style w:type="paragraph" w:styleId="BalloonText">
    <w:name w:val="Balloon Text"/>
    <w:basedOn w:val="Normal"/>
    <w:link w:val="BalloonTextChar"/>
    <w:rsid w:val="00A34C73"/>
    <w:rPr>
      <w:rFonts w:ascii="Tahoma" w:hAnsi="Tahoma" w:cs="Tahoma"/>
      <w:sz w:val="16"/>
      <w:szCs w:val="16"/>
    </w:rPr>
  </w:style>
  <w:style w:type="character" w:customStyle="1" w:styleId="BalloonTextChar">
    <w:name w:val="Balloon Text Char"/>
    <w:basedOn w:val="DefaultParagraphFont"/>
    <w:link w:val="BalloonText"/>
    <w:rsid w:val="00A34C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4C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4C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4C73"/>
    <w:rPr>
      <w:b/>
      <w:color w:val="660033"/>
      <w:spacing w:val="0"/>
    </w:rPr>
  </w:style>
  <w:style w:type="paragraph" w:customStyle="1" w:styleId="Nameditemlist">
    <w:name w:val="Named item list"/>
    <w:basedOn w:val="BodyText"/>
    <w:qFormat/>
    <w:rsid w:val="00A34C73"/>
    <w:pPr>
      <w:tabs>
        <w:tab w:val="left" w:pos="2835"/>
      </w:tabs>
      <w:ind w:left="2835" w:hanging="2835"/>
    </w:pPr>
  </w:style>
  <w:style w:type="paragraph" w:customStyle="1" w:styleId="BodyTextnopadding">
    <w:name w:val="Body Text no padding"/>
    <w:basedOn w:val="BodyText"/>
    <w:qFormat/>
    <w:rsid w:val="00A34C73"/>
    <w:pPr>
      <w:spacing w:before="0" w:after="0"/>
    </w:pPr>
  </w:style>
  <w:style w:type="paragraph" w:customStyle="1" w:styleId="BodyTextBold">
    <w:name w:val="Body Text Bold"/>
    <w:basedOn w:val="BodyText"/>
    <w:qFormat/>
    <w:rsid w:val="00A34C73"/>
    <w:rPr>
      <w:b/>
    </w:rPr>
  </w:style>
  <w:style w:type="character" w:styleId="Hyperlink">
    <w:name w:val="Hyperlink"/>
    <w:basedOn w:val="DefaultParagraphFont"/>
    <w:uiPriority w:val="99"/>
    <w:unhideWhenUsed/>
    <w:rsid w:val="00D36C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1081</Words>
  <Characters>7038</Characters>
  <Application>Microsoft Office Word</Application>
  <DocSecurity>0</DocSecurity>
  <Lines>306</Lines>
  <Paragraphs>121</Paragraphs>
  <ScaleCrop>false</ScaleCrop>
  <Company>Author-it Software Corporation Ltd.</Company>
  <LinksUpToDate>false</LinksUpToDate>
  <CharactersWithSpaces>7998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UETTDREL21 Operate specialised data information equipment near live electrical apparatus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2021-04-20T06:33:00Z</dcterms:created>
  <dcterms:modified xsi:type="dcterms:W3CDTF">2021-04-20T06:33:00Z</dcterms:modified>
</cp:coreProperties>
</file>