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096" w:rsidP="00915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UETTDREL21 Operate specialised data information equipment near live electrical apparatus</w:t>
      </w:r>
      <w:r>
        <w:fldChar w:fldCharType="end"/>
      </w:r>
    </w:p>
    <w:p w:rsidR="00915096" w:rsidP="00915096">
      <w:pPr>
        <w:pStyle w:val="Version"/>
        <w:sectPr w:rsidSect="00404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B7A" w:rsidP="00404B7A">
      <w:pPr>
        <w:pStyle w:val="SuperHeading"/>
      </w:pPr>
      <w:r w:rsidRPr="00404B7A">
        <w:t>Assessment Requirements for UETTDREL21 Operate specialised data information equipment near live electrical apparatus</w:t>
      </w:r>
    </w:p>
    <w:p w:rsidR="00000000" w:rsidRPr="00404B7A" w:rsidP="00404B7A">
      <w:pPr>
        <w:pStyle w:val="Heading1"/>
      </w:pPr>
      <w:bookmarkStart w:id="1" w:name="O_1003051"/>
      <w:bookmarkEnd w:id="1"/>
      <w:r w:rsidRPr="00404B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7A" w:rsidP="00404B7A">
            <w:pPr>
              <w:pStyle w:val="BodyText"/>
            </w:pPr>
            <w:r w:rsidRPr="00404B7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04B7A" w:rsidP="00404B7A">
      <w:pPr>
        <w:pStyle w:val="NoPaddingFontSize1"/>
      </w:pPr>
    </w:p>
    <w:p w:rsidR="00000000" w:rsidRPr="00404B7A" w:rsidP="00404B7A">
      <w:pPr>
        <w:pStyle w:val="AllowPageBreak"/>
      </w:pPr>
    </w:p>
    <w:p w:rsidR="00000000" w:rsidRPr="00404B7A" w:rsidP="00404B7A">
      <w:pPr>
        <w:pStyle w:val="Heading1"/>
      </w:pPr>
      <w:bookmarkStart w:id="2" w:name="O_1003052"/>
      <w:bookmarkEnd w:id="2"/>
      <w:r w:rsidRPr="00404B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7A">
            <w:pPr>
              <w:pStyle w:val="BodyText"/>
              <w:rPr>
                <w:lang w:val="en-NZ"/>
              </w:rPr>
            </w:pPr>
            <w:r w:rsidRPr="00404B7A">
              <w:t>Evidence required to demonstrate competence in this unit must be relevant to a</w:t>
            </w:r>
            <w:r w:rsidRPr="00404B7A">
              <w:t xml:space="preserve">nd satisfy all of the requirements of the elements and performance criteria on at least two separate occasions and include:  </w:t>
            </w:r>
          </w:p>
        </w:tc>
      </w:tr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7A" w:rsidP="00404B7A">
            <w:pPr>
              <w:pStyle w:val="ListBullet"/>
            </w:pPr>
            <w:r w:rsidRPr="00404B7A">
              <w:t>applying relevant work health and safety (WHS)/occupational health and safety (OHS) requirements, including the use of risk cont</w:t>
            </w:r>
            <w:r w:rsidRPr="00404B7A">
              <w:t>rol measures</w:t>
            </w:r>
          </w:p>
          <w:p w:rsidR="00000000" w:rsidRPr="00404B7A" w:rsidP="00404B7A">
            <w:pPr>
              <w:pStyle w:val="ListBullet"/>
            </w:pPr>
            <w:r w:rsidRPr="00404B7A">
              <w:t>applying sustainable energy principles and practices</w:t>
            </w:r>
          </w:p>
          <w:p w:rsidR="00000000" w:rsidRPr="00404B7A" w:rsidP="00404B7A">
            <w:pPr>
              <w:pStyle w:val="ListBullet"/>
            </w:pPr>
            <w:r w:rsidRPr="00404B7A">
              <w:t>confirming operational knowledge associated with the operation of specialised data information equipment near live electrical apparatus in all of the following:</w:t>
            </w:r>
          </w:p>
          <w:p w:rsidR="00000000" w:rsidRPr="00404B7A" w:rsidP="00404B7A">
            <w:pPr>
              <w:pStyle w:val="ListBullet2"/>
            </w:pPr>
            <w:r w:rsidRPr="00404B7A">
              <w:t>recognition of aerial voltag</w:t>
            </w:r>
            <w:r w:rsidRPr="00404B7A">
              <w:t>e systems</w:t>
            </w:r>
          </w:p>
          <w:p w:rsidR="00000000" w:rsidRPr="00404B7A" w:rsidP="00404B7A">
            <w:pPr>
              <w:pStyle w:val="ListBullet2"/>
            </w:pPr>
            <w:r w:rsidRPr="00404B7A">
              <w:t>identification of low voltage (LV) aerial circuits</w:t>
            </w:r>
          </w:p>
          <w:p w:rsidR="00000000" w:rsidRPr="00404B7A" w:rsidP="00404B7A">
            <w:pPr>
              <w:pStyle w:val="ListBullet2"/>
            </w:pPr>
            <w:r w:rsidRPr="00404B7A">
              <w:t>identification of high voltage (HV) aerial circuits</w:t>
            </w:r>
          </w:p>
          <w:p w:rsidR="00000000" w:rsidRPr="00404B7A" w:rsidP="00404B7A">
            <w:pPr>
              <w:pStyle w:val="ListBullet2"/>
            </w:pPr>
            <w:r w:rsidRPr="00404B7A">
              <w:t>safe approach distance (SAD) so defined by relevant authorities</w:t>
            </w:r>
          </w:p>
          <w:p w:rsidR="00000000" w:rsidRPr="00404B7A" w:rsidP="00404B7A">
            <w:pPr>
              <w:pStyle w:val="ListBullet2"/>
            </w:pPr>
            <w:r w:rsidRPr="00404B7A">
              <w:t>use of tech</w:t>
            </w:r>
            <w:r w:rsidRPr="00404B7A">
              <w:t>nical standards, acts, regulations, codes, guidelines and established/enterprise/asset owner’s procedures</w:t>
            </w:r>
          </w:p>
          <w:p w:rsidR="00000000" w:rsidRPr="00404B7A" w:rsidP="00404B7A">
            <w:pPr>
              <w:pStyle w:val="ListBullet2"/>
            </w:pPr>
            <w:r w:rsidRPr="00404B7A">
              <w:t>vicinity permit – information required and function</w:t>
            </w:r>
          </w:p>
          <w:p w:rsidR="00000000" w:rsidRPr="00404B7A" w:rsidP="00404B7A">
            <w:pPr>
              <w:pStyle w:val="ListBullet"/>
            </w:pPr>
            <w:r w:rsidRPr="00404B7A">
              <w:t>confirming safe practices associated with the operation specialised data information equipment ne</w:t>
            </w:r>
            <w:r w:rsidRPr="00404B7A">
              <w:t>ar live electrical apparatus in all the following:</w:t>
            </w:r>
          </w:p>
          <w:p w:rsidR="00000000" w:rsidRPr="00404B7A" w:rsidP="00404B7A">
            <w:pPr>
              <w:pStyle w:val="ListBullet2"/>
            </w:pPr>
            <w:r w:rsidRPr="00404B7A">
              <w:t>WHS/OHS safety practices and procedures</w:t>
            </w:r>
          </w:p>
          <w:p w:rsidR="00000000" w:rsidRPr="00404B7A" w:rsidP="00404B7A">
            <w:pPr>
              <w:pStyle w:val="ListBullet2"/>
            </w:pPr>
            <w:r w:rsidRPr="00404B7A">
              <w:t>electric shock and resuscitation</w:t>
            </w:r>
          </w:p>
          <w:p w:rsidR="00000000" w:rsidRPr="00404B7A" w:rsidP="00404B7A">
            <w:pPr>
              <w:pStyle w:val="ListBullet2"/>
            </w:pPr>
            <w:r w:rsidRPr="00404B7A">
              <w:t>events constituting an incident</w:t>
            </w:r>
          </w:p>
          <w:p w:rsidR="00000000" w:rsidRPr="00404B7A" w:rsidP="00404B7A">
            <w:pPr>
              <w:pStyle w:val="ListBullet2"/>
            </w:pPr>
            <w:r w:rsidRPr="00404B7A">
              <w:t>procedures in the event of/responding to incidents</w:t>
            </w:r>
          </w:p>
          <w:p w:rsidR="00000000" w:rsidRPr="00404B7A" w:rsidP="00404B7A">
            <w:pPr>
              <w:pStyle w:val="ListBullet2"/>
            </w:pPr>
            <w:r w:rsidRPr="00404B7A">
              <w:t>methods of identifying hazards</w:t>
            </w:r>
          </w:p>
          <w:p w:rsidR="00000000" w:rsidRPr="00404B7A" w:rsidP="00404B7A">
            <w:pPr>
              <w:pStyle w:val="ListBullet2"/>
            </w:pPr>
            <w:r w:rsidRPr="00404B7A">
              <w:t>risk assessment p</w:t>
            </w:r>
            <w:r w:rsidRPr="00404B7A">
              <w:t>rocedures</w:t>
            </w:r>
          </w:p>
          <w:p w:rsidR="00000000" w:rsidRPr="00404B7A" w:rsidP="00404B7A">
            <w:pPr>
              <w:pStyle w:val="ListBullet2"/>
            </w:pPr>
            <w:r w:rsidRPr="00404B7A">
              <w:t>constant analysis and decision making relevant to the safety of the work, taking into account prevailing site conditions (lay of the land) and ongoing weather conditions</w:t>
            </w:r>
          </w:p>
          <w:p w:rsidR="00000000" w:rsidRPr="00404B7A" w:rsidP="00404B7A">
            <w:pPr>
              <w:pStyle w:val="ListBullet"/>
            </w:pPr>
            <w:r w:rsidRPr="00404B7A">
              <w:t xml:space="preserve">confirming the safe deployment in varying conditions, and undertaking pre- </w:t>
            </w:r>
            <w:r w:rsidRPr="00404B7A">
              <w:t>and post-operational checks, inspections and minor maintenance of specialised data information equipment in at least three (3) of the following:</w:t>
            </w:r>
          </w:p>
          <w:p w:rsidR="00000000" w:rsidRPr="00404B7A" w:rsidP="00404B7A">
            <w:pPr>
              <w:pStyle w:val="ListBullet2"/>
            </w:pPr>
            <w:r w:rsidRPr="00404B7A">
              <w:t>infra-red and/or digital video camera</w:t>
            </w:r>
          </w:p>
          <w:p w:rsidR="00000000" w:rsidRPr="00404B7A" w:rsidP="00404B7A">
            <w:pPr>
              <w:pStyle w:val="ListBullet2"/>
            </w:pPr>
            <w:r w:rsidRPr="00404B7A">
              <w:t>wireless camera</w:t>
            </w:r>
          </w:p>
          <w:p w:rsidR="00000000" w:rsidRPr="00404B7A" w:rsidP="00404B7A">
            <w:pPr>
              <w:pStyle w:val="ListBullet2"/>
            </w:pPr>
            <w:r w:rsidRPr="00404B7A">
              <w:t>telescopic stick</w:t>
            </w:r>
          </w:p>
          <w:p w:rsidR="00000000" w:rsidRPr="00404B7A" w:rsidP="00404B7A">
            <w:pPr>
              <w:pStyle w:val="ListBullet2"/>
            </w:pPr>
            <w:r w:rsidRPr="00404B7A">
              <w:t>stills digital cameras</w:t>
            </w:r>
          </w:p>
          <w:p w:rsidR="00000000" w:rsidRPr="00404B7A" w:rsidP="00404B7A">
            <w:pPr>
              <w:pStyle w:val="ListBullet2"/>
            </w:pPr>
            <w:r w:rsidRPr="00404B7A">
              <w:t>single lens reflex (SLR) cameras</w:t>
            </w:r>
          </w:p>
          <w:p w:rsidR="00000000" w:rsidRPr="00404B7A" w:rsidP="00404B7A">
            <w:pPr>
              <w:pStyle w:val="ListBullet2"/>
            </w:pPr>
            <w:r w:rsidRPr="00404B7A">
              <w:t>computers/personal digital assistant (PDA)</w:t>
            </w:r>
          </w:p>
          <w:p w:rsidR="00000000" w:rsidRPr="00404B7A" w:rsidP="00404B7A">
            <w:pPr>
              <w:pStyle w:val="ListBullet2"/>
            </w:pPr>
            <w:r w:rsidRPr="00404B7A">
              <w:t>sonic testing devices</w:t>
            </w:r>
          </w:p>
          <w:p w:rsidR="00000000" w:rsidRPr="00404B7A" w:rsidP="00404B7A">
            <w:pPr>
              <w:pStyle w:val="ListBullet2"/>
            </w:pPr>
            <w:r w:rsidRPr="00404B7A">
              <w:t>pneumatic height telescopic cameras</w:t>
            </w:r>
          </w:p>
          <w:p w:rsidR="00000000" w:rsidRPr="00404B7A" w:rsidP="00404B7A">
            <w:pPr>
              <w:pStyle w:val="ListBullet2"/>
            </w:pPr>
            <w:r w:rsidRPr="00404B7A">
              <w:t>laser distance measuring equipment</w:t>
            </w:r>
          </w:p>
          <w:p w:rsidR="00000000" w:rsidRPr="00404B7A" w:rsidP="00404B7A">
            <w:pPr>
              <w:pStyle w:val="ListBullet"/>
            </w:pPr>
            <w:r w:rsidRPr="00404B7A">
              <w:t>dealing with unplanned events on at least one (1) occasion.</w:t>
            </w:r>
          </w:p>
        </w:tc>
      </w:tr>
    </w:tbl>
    <w:p w:rsidR="00000000" w:rsidRPr="00404B7A" w:rsidP="00404B7A">
      <w:pPr>
        <w:pStyle w:val="NoPaddingFontSize1"/>
      </w:pPr>
    </w:p>
    <w:p w:rsidR="00000000" w:rsidRPr="00404B7A" w:rsidP="00404B7A">
      <w:pPr>
        <w:pStyle w:val="AllowPageBreak"/>
      </w:pPr>
    </w:p>
    <w:p w:rsidR="00000000" w:rsidRPr="00404B7A" w:rsidP="00404B7A">
      <w:pPr>
        <w:pStyle w:val="Heading1"/>
      </w:pPr>
      <w:bookmarkStart w:id="3" w:name="O_1003053"/>
      <w:bookmarkEnd w:id="3"/>
      <w:r w:rsidRPr="00404B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B7A">
            <w:pPr>
              <w:pStyle w:val="BodyText"/>
              <w:rPr>
                <w:lang w:val="en-NZ"/>
              </w:rPr>
            </w:pPr>
            <w:r w:rsidRPr="00404B7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7A" w:rsidP="00404B7A">
            <w:pPr>
              <w:pStyle w:val="ListBullet"/>
            </w:pPr>
            <w:r w:rsidRPr="00404B7A">
              <w:t>specialised data information equipment safety requireme</w:t>
            </w:r>
            <w:r w:rsidRPr="00404B7A">
              <w:t>nts encompassing:</w:t>
            </w:r>
          </w:p>
          <w:p w:rsidR="00000000" w:rsidRPr="00404B7A" w:rsidP="00404B7A">
            <w:pPr>
              <w:pStyle w:val="ListBullet2"/>
            </w:pPr>
            <w:r w:rsidRPr="00404B7A">
              <w:t>WHS/OHS principles</w:t>
            </w:r>
          </w:p>
          <w:p w:rsidR="00000000" w:rsidRPr="00404B7A" w:rsidP="00404B7A">
            <w:pPr>
              <w:pStyle w:val="ListBullet2"/>
            </w:pPr>
            <w:r w:rsidRPr="00404B7A">
              <w:t>legal requirements covering WHS/OHS in the workplace</w:t>
            </w:r>
          </w:p>
          <w:p w:rsidR="00000000" w:rsidRPr="00404B7A" w:rsidP="00404B7A">
            <w:pPr>
              <w:pStyle w:val="ListBullet2"/>
            </w:pPr>
            <w:r w:rsidRPr="00404B7A">
              <w:t>requirements for personal safety in the workplace</w:t>
            </w:r>
          </w:p>
          <w:p w:rsidR="00000000" w:rsidRPr="00404B7A" w:rsidP="00404B7A">
            <w:pPr>
              <w:pStyle w:val="ListBullet2"/>
            </w:pPr>
            <w:r w:rsidRPr="00404B7A">
              <w:t>working safely on and around electrical equipment through the application of risk management principles and control measures</w:t>
            </w:r>
          </w:p>
          <w:p w:rsidR="00000000" w:rsidRPr="00404B7A" w:rsidP="00404B7A">
            <w:pPr>
              <w:pStyle w:val="ListBullet2"/>
            </w:pPr>
            <w:r w:rsidRPr="00404B7A">
              <w:t>identification of hazards and risks associated with working on/near live electrical apparatus</w:t>
            </w:r>
          </w:p>
          <w:p w:rsidR="00000000" w:rsidRPr="00404B7A" w:rsidP="00404B7A">
            <w:pPr>
              <w:pStyle w:val="ListBullet2"/>
            </w:pPr>
            <w:r w:rsidRPr="00404B7A">
              <w:t>recognising hazards and WHS/OHS risks</w:t>
            </w:r>
          </w:p>
          <w:p w:rsidR="00000000" w:rsidRPr="00404B7A" w:rsidP="00404B7A">
            <w:pPr>
              <w:pStyle w:val="ListBullet2"/>
            </w:pPr>
            <w:r w:rsidRPr="00404B7A">
              <w:t>implementing emergency procedures for the rescue of an electric shock victim</w:t>
            </w:r>
          </w:p>
          <w:p w:rsidR="00000000" w:rsidRPr="00404B7A" w:rsidP="00404B7A">
            <w:pPr>
              <w:pStyle w:val="ListBullet2"/>
            </w:pPr>
            <w:r w:rsidRPr="00404B7A">
              <w:t>providing emergency first aid for an electric shock victim</w:t>
            </w:r>
          </w:p>
          <w:p w:rsidR="00000000" w:rsidRPr="00404B7A" w:rsidP="00404B7A">
            <w:pPr>
              <w:pStyle w:val="ListBullet2"/>
            </w:pPr>
            <w:r w:rsidRPr="00404B7A">
              <w:t>selecting and using personal protective equipment (PPE)</w:t>
            </w:r>
          </w:p>
          <w:p w:rsidR="00000000" w:rsidRPr="00404B7A" w:rsidP="00404B7A">
            <w:pPr>
              <w:pStyle w:val="ListBullet"/>
            </w:pPr>
            <w:r w:rsidRPr="00404B7A">
              <w:t>specialised data information equipment encompassing:</w:t>
            </w:r>
          </w:p>
          <w:p w:rsidR="00000000" w:rsidRPr="00404B7A" w:rsidP="00404B7A">
            <w:pPr>
              <w:pStyle w:val="ListBullet2"/>
            </w:pPr>
            <w:r w:rsidRPr="00404B7A">
              <w:t>standard</w:t>
            </w:r>
            <w:r w:rsidRPr="00404B7A">
              <w:t>s, codes, legislation, supply authority regulations and/or enterprise policies and procedures</w:t>
            </w:r>
          </w:p>
          <w:p w:rsidR="00000000" w:rsidRPr="00404B7A" w:rsidP="00404B7A">
            <w:pPr>
              <w:pStyle w:val="ListBullet2"/>
            </w:pPr>
            <w:r w:rsidRPr="00404B7A">
              <w:t>reading and following information on standard operating procedures</w:t>
            </w:r>
          </w:p>
          <w:p w:rsidR="00000000" w:rsidRPr="00404B7A" w:rsidP="00404B7A">
            <w:pPr>
              <w:pStyle w:val="ListBullet2"/>
            </w:pPr>
            <w:r w:rsidRPr="00404B7A">
              <w:t>following verbal instructions</w:t>
            </w:r>
          </w:p>
          <w:p w:rsidR="00000000" w:rsidRPr="00404B7A" w:rsidP="00404B7A">
            <w:pPr>
              <w:pStyle w:val="ListBullet2"/>
            </w:pPr>
            <w:r w:rsidRPr="00404B7A">
              <w:t>identifying specialised data information equipment defects</w:t>
            </w:r>
          </w:p>
          <w:p w:rsidR="00000000" w:rsidRPr="00404B7A" w:rsidP="00404B7A">
            <w:pPr>
              <w:pStyle w:val="ListBullet2"/>
            </w:pPr>
            <w:r w:rsidRPr="00404B7A">
              <w:t>mainta</w:t>
            </w:r>
            <w:r w:rsidRPr="00404B7A">
              <w:t>ining specialised data information equipment using appropriate techniques</w:t>
            </w:r>
          </w:p>
          <w:p w:rsidR="00000000" w:rsidRPr="00404B7A" w:rsidP="00404B7A">
            <w:pPr>
              <w:pStyle w:val="ListBullet2"/>
            </w:pPr>
            <w:r w:rsidRPr="00404B7A">
              <w:t>safe use of enterprise vehicles</w:t>
            </w:r>
          </w:p>
          <w:p w:rsidR="00000000" w:rsidRPr="00404B7A" w:rsidP="00404B7A">
            <w:pPr>
              <w:pStyle w:val="ListBullet2"/>
            </w:pPr>
            <w:r w:rsidRPr="00404B7A">
              <w:t>operation of specialised data information equipment - pre-operational checks, safe use of specialised data information equipment, safe transporting and storage procedures according to manufacturer/standard operating procedures (SOPs)</w:t>
            </w:r>
          </w:p>
          <w:p w:rsidR="00000000" w:rsidRPr="00404B7A" w:rsidP="00404B7A">
            <w:pPr>
              <w:pStyle w:val="ListBullet2"/>
            </w:pPr>
            <w:r w:rsidRPr="00404B7A">
              <w:t>completing of records,</w:t>
            </w:r>
            <w:r w:rsidRPr="00404B7A">
              <w:t xml:space="preserve"> reports and documentation</w:t>
            </w:r>
          </w:p>
          <w:p w:rsidR="00000000" w:rsidRPr="00404B7A" w:rsidP="00404B7A">
            <w:pPr>
              <w:pStyle w:val="ListBullet2"/>
            </w:pPr>
            <w:r w:rsidRPr="00404B7A">
              <w:t>adjustments/alignments to a range of specialised data information equipment</w:t>
            </w:r>
          </w:p>
          <w:p w:rsidR="00000000" w:rsidRPr="00404B7A" w:rsidP="00404B7A">
            <w:pPr>
              <w:pStyle w:val="ListBullet2"/>
            </w:pPr>
            <w:r w:rsidRPr="00404B7A">
              <w:t>routine maintenance requirements of a range of specialised data information equipment</w:t>
            </w:r>
          </w:p>
          <w:p w:rsidR="00000000" w:rsidRPr="00404B7A" w:rsidP="00404B7A">
            <w:pPr>
              <w:pStyle w:val="ListBullet2"/>
            </w:pPr>
            <w:r w:rsidRPr="00404B7A">
              <w:t>safe use of specialised data information equipment</w:t>
            </w:r>
          </w:p>
          <w:p w:rsidR="00000000" w:rsidRPr="00404B7A" w:rsidP="00404B7A">
            <w:pPr>
              <w:pStyle w:val="ListBullet2"/>
            </w:pPr>
            <w:r w:rsidRPr="00404B7A">
              <w:t xml:space="preserve">maintenance and </w:t>
            </w:r>
            <w:r w:rsidRPr="00404B7A">
              <w:t>storage of specialised data information equipment.</w:t>
            </w:r>
          </w:p>
        </w:tc>
      </w:tr>
    </w:tbl>
    <w:p w:rsidR="00000000" w:rsidRPr="00404B7A" w:rsidP="00404B7A">
      <w:pPr>
        <w:pStyle w:val="NoPaddingFontSize1"/>
      </w:pPr>
    </w:p>
    <w:p w:rsidR="00000000" w:rsidRPr="00404B7A" w:rsidP="00404B7A">
      <w:pPr>
        <w:pStyle w:val="AllowPageBreak"/>
      </w:pPr>
    </w:p>
    <w:p w:rsidR="00000000" w:rsidRPr="00404B7A" w:rsidP="00404B7A">
      <w:pPr>
        <w:pStyle w:val="Heading1"/>
      </w:pPr>
      <w:bookmarkStart w:id="4" w:name="O_1003054"/>
      <w:bookmarkEnd w:id="4"/>
      <w:r w:rsidRPr="00404B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B7A" w:rsidP="00404B7A">
            <w:pPr>
              <w:pStyle w:val="BodyText"/>
            </w:pPr>
            <w:r w:rsidRPr="00404B7A">
              <w:t>Assessors must hold credentials specified within the Standards for Registered Training Organisations current at the time of assessment.</w:t>
            </w:r>
          </w:p>
          <w:p w:rsidR="00000000" w:rsidRPr="00404B7A" w:rsidP="00404B7A">
            <w:pPr>
              <w:pStyle w:val="BodyText"/>
            </w:pPr>
            <w:r w:rsidRPr="00404B7A">
              <w:t>Assessment must satisfy th</w:t>
            </w:r>
            <w:r w:rsidRPr="00404B7A">
              <w:t>e Principles of Assessment and Rules of Evidence and all regulatory requirements included within the Standards for Registered Training Organisations current at the time of assessment.</w:t>
            </w:r>
          </w:p>
          <w:p w:rsidR="00000000" w:rsidRPr="00404B7A" w:rsidP="00404B7A">
            <w:pPr>
              <w:pStyle w:val="BodyText"/>
            </w:pPr>
            <w:r w:rsidRPr="00404B7A">
              <w:t>Assessment must occur in workplace operational situations where it is ap</w:t>
            </w:r>
            <w:r w:rsidRPr="00404B7A">
              <w:t>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04B7A" w:rsidP="00404B7A">
            <w:pPr>
              <w:pStyle w:val="BodyText"/>
            </w:pPr>
            <w:r w:rsidRPr="00404B7A">
              <w:t>Assessment processes an</w:t>
            </w:r>
            <w:r w:rsidRPr="00404B7A">
              <w:t>d techniques must be appropriate to the language, literacy and numeracy requirements of the work being performed and the needs of the candidate.</w:t>
            </w:r>
          </w:p>
          <w:p w:rsidR="00000000" w:rsidRPr="00404B7A" w:rsidP="00404B7A">
            <w:pPr>
              <w:pStyle w:val="BodyText"/>
            </w:pPr>
            <w:r w:rsidRPr="00404B7A">
              <w:t>Resources for assessment must include access to:</w:t>
            </w:r>
          </w:p>
          <w:p w:rsidR="00000000" w:rsidRPr="00404B7A" w:rsidP="00404B7A">
            <w:pPr>
              <w:pStyle w:val="ListBullet"/>
            </w:pPr>
            <w:r w:rsidRPr="00404B7A">
              <w:t>a range of relevant exercises, case studies and/or other simu</w:t>
            </w:r>
            <w:r w:rsidRPr="00404B7A">
              <w:t>lations</w:t>
            </w:r>
          </w:p>
          <w:p w:rsidR="00000000" w:rsidRPr="00404B7A" w:rsidP="00404B7A">
            <w:pPr>
              <w:pStyle w:val="ListBullet"/>
            </w:pPr>
            <w:r w:rsidRPr="00404B7A">
              <w:t>relevant and appropriate materials, tools, equipment and PPE currently used in industry</w:t>
            </w:r>
          </w:p>
          <w:p w:rsidR="00000000" w:rsidRPr="00404B7A" w:rsidP="00404B7A">
            <w:pPr>
              <w:pStyle w:val="ListBullet"/>
            </w:pPr>
            <w:r w:rsidRPr="00404B7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04B7A" w:rsidP="00404B7A">
      <w:pPr>
        <w:pStyle w:val="NoPaddingFontSize1"/>
      </w:pPr>
    </w:p>
    <w:p w:rsidR="00000000" w:rsidRPr="00404B7A" w:rsidP="00404B7A">
      <w:pPr>
        <w:pStyle w:val="AllowPageBreak"/>
      </w:pPr>
    </w:p>
    <w:p w:rsidR="00000000" w:rsidRPr="00404B7A" w:rsidP="00404B7A">
      <w:pPr>
        <w:pStyle w:val="Heading1"/>
      </w:pPr>
      <w:bookmarkStart w:id="5" w:name="O_1003057"/>
      <w:bookmarkEnd w:id="5"/>
      <w:r w:rsidRPr="00404B7A">
        <w:t>L</w:t>
      </w:r>
      <w:r w:rsidRPr="00404B7A">
        <w:t>inks</w:t>
      </w:r>
    </w:p>
    <w:p w:rsidR="00000000" w:rsidRPr="00404B7A" w:rsidP="00915096">
      <w:pPr>
        <w:pStyle w:val="BodyText"/>
      </w:pPr>
      <w:r w:rsidRPr="00404B7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C789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04B7A" w:rsidP="00404B7A"/>
    <w:sectPr w:rsidSect="00404B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A" w:rsidRPr="00915096" w:rsidP="00915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96" w:rsidP="00404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096" w:rsidP="00404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5096" w:rsidP="00404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B7A" w:rsidRPr="00915096" w:rsidP="00915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96" w:rsidRPr="002D2AF8" w:rsidP="00404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UETTDREL21 Operate specialised data information equipment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15096" w:rsidP="00404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E3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E6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88A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B7A"/>
  </w:style>
  <w:style w:type="character" w:customStyle="1" w:styleId="Heading1Char">
    <w:name w:val="Heading 1 Char"/>
    <w:basedOn w:val="DefaultParagraphFont"/>
    <w:link w:val="Heading1"/>
    <w:rsid w:val="00404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4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B7A"/>
    <w:rPr>
      <w:b/>
      <w:spacing w:val="0"/>
    </w:rPr>
  </w:style>
  <w:style w:type="paragraph" w:customStyle="1" w:styleId="SuperTitle">
    <w:name w:val="SuperTitle"/>
    <w:basedOn w:val="Title"/>
    <w:rsid w:val="00404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B7A"/>
    <w:rPr>
      <w:i/>
    </w:rPr>
  </w:style>
  <w:style w:type="paragraph" w:styleId="Caption">
    <w:name w:val="caption"/>
    <w:basedOn w:val="BodyText"/>
    <w:next w:val="Normal"/>
    <w:qFormat/>
    <w:rsid w:val="00404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B7A"/>
  </w:style>
  <w:style w:type="paragraph" w:styleId="TableofFigures">
    <w:name w:val="table of figures"/>
    <w:basedOn w:val="Normal"/>
    <w:next w:val="Normal"/>
    <w:semiHidden/>
    <w:rsid w:val="00404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B7A"/>
    <w:rPr>
      <w:rFonts w:ascii="Wingdings" w:hAnsi="Wingdings"/>
    </w:rPr>
  </w:style>
  <w:style w:type="paragraph" w:customStyle="1" w:styleId="TableHeading">
    <w:name w:val="Table Heading"/>
    <w:basedOn w:val="HeadingBase"/>
    <w:rsid w:val="00404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B7A"/>
    <w:rPr>
      <w:color w:val="0033CC"/>
      <w:u w:val="none"/>
    </w:rPr>
  </w:style>
  <w:style w:type="paragraph" w:customStyle="1" w:styleId="BodyTextRight">
    <w:name w:val="Body Text Right"/>
    <w:basedOn w:val="BodyText"/>
    <w:rsid w:val="00404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B7A"/>
    <w:rPr>
      <w:sz w:val="32"/>
    </w:rPr>
  </w:style>
  <w:style w:type="paragraph" w:customStyle="1" w:styleId="HeadingProcedure">
    <w:name w:val="Heading Procedure"/>
    <w:basedOn w:val="HeadingBase"/>
    <w:next w:val="Normal"/>
    <w:rsid w:val="00404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B7A"/>
    <w:pPr>
      <w:spacing w:before="60" w:after="60"/>
    </w:pPr>
  </w:style>
  <w:style w:type="paragraph" w:styleId="ListContinue">
    <w:name w:val="List Continue"/>
    <w:basedOn w:val="List"/>
    <w:rsid w:val="00404B7A"/>
    <w:pPr>
      <w:ind w:firstLine="0"/>
    </w:pPr>
  </w:style>
  <w:style w:type="paragraph" w:customStyle="1" w:styleId="ListNote">
    <w:name w:val="List Note"/>
    <w:basedOn w:val="List"/>
    <w:rsid w:val="00404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B7A"/>
    <w:rPr>
      <w:rFonts w:ascii="Courier New" w:hAnsi="Courier New"/>
    </w:rPr>
  </w:style>
  <w:style w:type="paragraph" w:customStyle="1" w:styleId="NoteBullet">
    <w:name w:val="Note Bullet"/>
    <w:basedOn w:val="Note"/>
    <w:rsid w:val="00404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B7A"/>
    <w:rPr>
      <w:b/>
      <w:smallCaps/>
    </w:rPr>
  </w:style>
  <w:style w:type="paragraph" w:customStyle="1" w:styleId="TableListNumber">
    <w:name w:val="Table List Number"/>
    <w:basedOn w:val="ListNumber"/>
    <w:rsid w:val="00404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B7A"/>
    <w:pPr>
      <w:numPr>
        <w:numId w:val="9"/>
      </w:numPr>
    </w:pPr>
  </w:style>
  <w:style w:type="paragraph" w:customStyle="1" w:styleId="ListAlpha2">
    <w:name w:val="List Alpha 2"/>
    <w:basedOn w:val="List2"/>
    <w:rsid w:val="00404B7A"/>
    <w:pPr>
      <w:numPr>
        <w:numId w:val="8"/>
      </w:numPr>
    </w:pPr>
  </w:style>
  <w:style w:type="paragraph" w:styleId="List2">
    <w:name w:val="List 2"/>
    <w:basedOn w:val="BodyText"/>
    <w:rsid w:val="00404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B7A"/>
    <w:pPr>
      <w:numPr>
        <w:numId w:val="4"/>
      </w:numPr>
    </w:pPr>
  </w:style>
  <w:style w:type="paragraph" w:styleId="ListContinue2">
    <w:name w:val="List Continue 2"/>
    <w:basedOn w:val="List2"/>
    <w:rsid w:val="00404B7A"/>
    <w:pPr>
      <w:ind w:firstLine="0"/>
    </w:pPr>
  </w:style>
  <w:style w:type="paragraph" w:styleId="ListContinue3">
    <w:name w:val="List Continue 3"/>
    <w:basedOn w:val="List3"/>
    <w:rsid w:val="00404B7A"/>
    <w:pPr>
      <w:ind w:left="1021" w:firstLine="0"/>
    </w:pPr>
  </w:style>
  <w:style w:type="paragraph" w:styleId="ListContinue4">
    <w:name w:val="List Continue 4"/>
    <w:basedOn w:val="List4"/>
    <w:rsid w:val="00404B7A"/>
    <w:pPr>
      <w:ind w:firstLine="0"/>
    </w:pPr>
  </w:style>
  <w:style w:type="paragraph" w:styleId="ListContinue5">
    <w:name w:val="List Continue 5"/>
    <w:basedOn w:val="List5"/>
    <w:rsid w:val="00404B7A"/>
    <w:pPr>
      <w:ind w:firstLine="0"/>
    </w:pPr>
  </w:style>
  <w:style w:type="paragraph" w:styleId="ListNumber3">
    <w:name w:val="List Number 3"/>
    <w:basedOn w:val="List3"/>
    <w:rsid w:val="00404B7A"/>
    <w:pPr>
      <w:numPr>
        <w:numId w:val="5"/>
      </w:numPr>
    </w:pPr>
  </w:style>
  <w:style w:type="paragraph" w:styleId="ListNumber4">
    <w:name w:val="List Number 4"/>
    <w:basedOn w:val="List4"/>
    <w:rsid w:val="00404B7A"/>
    <w:pPr>
      <w:numPr>
        <w:numId w:val="6"/>
      </w:numPr>
    </w:pPr>
  </w:style>
  <w:style w:type="paragraph" w:styleId="ListNumber5">
    <w:name w:val="List Number 5"/>
    <w:basedOn w:val="List5"/>
    <w:rsid w:val="00404B7A"/>
    <w:pPr>
      <w:numPr>
        <w:numId w:val="7"/>
      </w:numPr>
    </w:pPr>
  </w:style>
  <w:style w:type="paragraph" w:styleId="BlockText">
    <w:name w:val="Block Text"/>
    <w:basedOn w:val="Normal"/>
    <w:rsid w:val="00404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B7A"/>
    <w:rPr>
      <w:sz w:val="16"/>
      <w:vertAlign w:val="superscript"/>
    </w:rPr>
  </w:style>
  <w:style w:type="character" w:customStyle="1" w:styleId="Symbols">
    <w:name w:val="Symbols"/>
    <w:basedOn w:val="DefaultParagraphFont"/>
    <w:rsid w:val="00404B7A"/>
    <w:rPr>
      <w:rFonts w:ascii="Symbol" w:hAnsi="Symbol"/>
    </w:rPr>
  </w:style>
  <w:style w:type="character" w:customStyle="1" w:styleId="MenuOptions">
    <w:name w:val="Menu Options"/>
    <w:basedOn w:val="DefaultParagraphFont"/>
    <w:rsid w:val="00404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B7A"/>
    <w:rPr>
      <w:b/>
    </w:rPr>
  </w:style>
  <w:style w:type="character" w:customStyle="1" w:styleId="Underlined">
    <w:name w:val="Underlined"/>
    <w:basedOn w:val="DefaultParagraphFont"/>
    <w:rsid w:val="00404B7A"/>
    <w:rPr>
      <w:u w:val="single"/>
    </w:rPr>
  </w:style>
  <w:style w:type="paragraph" w:customStyle="1" w:styleId="TableBodyTextRight">
    <w:name w:val="Table Body Text Right"/>
    <w:basedOn w:val="TableBodyText"/>
    <w:rsid w:val="00404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B7A"/>
    <w:rPr>
      <w:sz w:val="18"/>
    </w:rPr>
  </w:style>
  <w:style w:type="paragraph" w:customStyle="1" w:styleId="BodySmallRight">
    <w:name w:val="Body Small Right"/>
    <w:basedOn w:val="BodyTextRight"/>
    <w:rsid w:val="00404B7A"/>
    <w:rPr>
      <w:sz w:val="18"/>
      <w:szCs w:val="18"/>
    </w:rPr>
  </w:style>
  <w:style w:type="paragraph" w:customStyle="1" w:styleId="MarginEdition">
    <w:name w:val="Margin Edition"/>
    <w:basedOn w:val="MarginNote"/>
    <w:rsid w:val="00404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B7A"/>
    <w:rPr>
      <w:sz w:val="2"/>
      <w:szCs w:val="2"/>
    </w:rPr>
  </w:style>
  <w:style w:type="character" w:customStyle="1" w:styleId="Small">
    <w:name w:val="Small"/>
    <w:basedOn w:val="DefaultParagraphFont"/>
    <w:rsid w:val="00404B7A"/>
    <w:rPr>
      <w:sz w:val="16"/>
    </w:rPr>
  </w:style>
  <w:style w:type="paragraph" w:customStyle="1" w:styleId="WideTable">
    <w:name w:val="Wide Table"/>
    <w:basedOn w:val="Normal"/>
    <w:rsid w:val="00404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B7A"/>
  </w:style>
  <w:style w:type="paragraph" w:styleId="Quote">
    <w:name w:val="Quote"/>
    <w:basedOn w:val="Heading1"/>
    <w:link w:val="QuoteChar"/>
    <w:qFormat/>
    <w:rsid w:val="00404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B7A"/>
    <w:pPr>
      <w:pageBreakBefore/>
    </w:pPr>
  </w:style>
  <w:style w:type="paragraph" w:customStyle="1" w:styleId="Border">
    <w:name w:val="Border"/>
    <w:basedOn w:val="Normal"/>
    <w:qFormat/>
    <w:rsid w:val="00404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B7A"/>
    <w:rPr>
      <w:u w:val="single"/>
    </w:rPr>
  </w:style>
  <w:style w:type="character" w:customStyle="1" w:styleId="BoldandItalics">
    <w:name w:val="Bold and Italics"/>
    <w:qFormat/>
    <w:rsid w:val="00404B7A"/>
    <w:rPr>
      <w:b/>
      <w:i/>
      <w:u w:val="none"/>
    </w:rPr>
  </w:style>
  <w:style w:type="paragraph" w:styleId="BalloonText">
    <w:name w:val="Balloon Text"/>
    <w:basedOn w:val="Normal"/>
    <w:link w:val="BalloonTextChar"/>
    <w:rsid w:val="00404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B7A"/>
    <w:pPr>
      <w:spacing w:before="0" w:after="0"/>
    </w:pPr>
  </w:style>
  <w:style w:type="paragraph" w:customStyle="1" w:styleId="BodyTextBold">
    <w:name w:val="Body Text Bold"/>
    <w:basedOn w:val="BodyText"/>
    <w:qFormat/>
    <w:rsid w:val="00404B7A"/>
    <w:rPr>
      <w:b/>
    </w:rPr>
  </w:style>
  <w:style w:type="character" w:styleId="Hyperlink">
    <w:name w:val="Hyperlink"/>
    <w:basedOn w:val="DefaultParagraphFont"/>
    <w:uiPriority w:val="99"/>
    <w:unhideWhenUsed/>
    <w:rsid w:val="00915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5026</Characters>
  <Application>Microsoft Office Word</Application>
  <DocSecurity>0</DocSecurity>
  <Lines>111</Lines>
  <Paragraphs>82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UETTDREL21 Operate specialised data information equipment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