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FD4" w:rsidP="001B4FD4">
      <w:pPr>
        <w:pStyle w:val="Title"/>
      </w:pPr>
      <w:r>
        <w:fldChar w:fldCharType="begin"/>
      </w:r>
      <w:r>
        <w:instrText xml:space="preserve"> TITLE   \* MERGEFORMAT </w:instrText>
      </w:r>
      <w:r>
        <w:fldChar w:fldCharType="separate"/>
      </w:r>
      <w:r>
        <w:t>UETTDREL19 Identify and interpret characteristics of electrical apparatus associated with power industry assets</w:t>
      </w:r>
      <w:r>
        <w:fldChar w:fldCharType="end"/>
      </w:r>
    </w:p>
    <w:p w:rsidR="001B4FD4" w:rsidP="001B4FD4">
      <w:pPr>
        <w:pStyle w:val="Version"/>
        <w:sectPr w:rsidSect="00512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CA4" w:rsidP="00512CA4">
      <w:pPr>
        <w:pStyle w:val="SuperHeading"/>
      </w:pPr>
      <w:r w:rsidRPr="00512CA4">
        <w:t>UETTDREL19 Identify and interpret characteristics of electrical apparatus associated with power industry assets</w:t>
      </w:r>
    </w:p>
    <w:p w:rsidR="00000000" w:rsidRPr="00512CA4" w:rsidP="00512CA4">
      <w:pPr>
        <w:pStyle w:val="Heading1"/>
      </w:pPr>
      <w:bookmarkStart w:id="1" w:name="O_1003003"/>
      <w:bookmarkEnd w:id="1"/>
      <w:r w:rsidRPr="00512CA4">
        <w:t>Modification History</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Release 1. This is the first release of this unit of competency in the UET Transmission, Distribution and Rail Sector Training Package.</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2" w:name="O_1003004"/>
      <w:bookmarkEnd w:id="2"/>
      <w:r w:rsidRPr="00512CA4">
        <w:t>Application</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This unit covers the identification and interpretation of electrical apparatus associat</w:t>
            </w:r>
            <w:r w:rsidRPr="00512CA4">
              <w:t>ed with asset inspection, including interpreting the operational characteristics of the electrical apparatus, pole top structures, attachments and the relationship of the various equipment, including the association the equipment has in the correct functio</w:t>
            </w:r>
            <w:r w:rsidRPr="00512CA4">
              <w:t>ning of the distribution and/or transmission system</w:t>
            </w:r>
          </w:p>
          <w:p w:rsidR="00000000" w:rsidRPr="00512CA4" w:rsidP="00512CA4">
            <w:pPr>
              <w:pStyle w:val="BodyText"/>
            </w:pPr>
            <w:r w:rsidRPr="00512CA4">
              <w:t xml:space="preserve">The application of the skills and knowledge described in this unit may require a licence/registration to practice in the workplace subject to regulations for undertaking of electrical work.  </w:t>
            </w:r>
          </w:p>
          <w:p w:rsidR="00000000" w:rsidRPr="00512CA4" w:rsidP="00512CA4">
            <w:pPr>
              <w:pStyle w:val="BodyText"/>
            </w:pPr>
            <w:r w:rsidRPr="00512CA4">
              <w:t>Other condit</w:t>
            </w:r>
            <w:r w:rsidRPr="00512CA4">
              <w:t>ions may apply under state and territory legislative and regulatory licencing requirements which must be confirmed prior to commencing this unit.</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3" w:name="O_1003005"/>
      <w:bookmarkEnd w:id="3"/>
      <w:r w:rsidRPr="00512CA4">
        <w:t>Pre-requisite Unit</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Common Unit Group</w:t>
            </w:r>
          </w:p>
          <w:p w:rsidR="00000000" w:rsidRPr="00512CA4" w:rsidP="00512CA4">
            <w:pPr>
              <w:pStyle w:val="BodyText"/>
            </w:pPr>
            <w:r w:rsidRPr="00512CA4">
              <w:t>UEENEEE101A Apply Occupational Health and Safety reg</w:t>
            </w:r>
            <w:r w:rsidRPr="00512CA4">
              <w:t>ulations, codes and practices in the workplace</w:t>
            </w:r>
          </w:p>
          <w:p w:rsidR="00000000" w:rsidRPr="00512CA4" w:rsidP="00512CA4">
            <w:pPr>
              <w:pStyle w:val="BodyText"/>
            </w:pPr>
            <w:r w:rsidRPr="00512CA4">
              <w:t>UETTDREL13 Comply with sustainability, environmental and incidental response policies and procedures</w:t>
            </w:r>
          </w:p>
          <w:p w:rsidR="00000000" w:rsidRPr="00512CA4" w:rsidP="00512CA4">
            <w:pPr>
              <w:pStyle w:val="BodyText"/>
            </w:pPr>
            <w:r w:rsidRPr="00512CA4">
              <w:t>UETTDREL14 Working safely near live electrical apparatus as a non-electrical worker</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4" w:name="O_1003006"/>
      <w:bookmarkEnd w:id="4"/>
      <w:r w:rsidRPr="00512CA4">
        <w:t>Com</w:t>
      </w:r>
      <w:r w:rsidRPr="00512CA4">
        <w:t>petency Field</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Entry Level Cross Discipline</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5" w:name="O_1003007"/>
      <w:bookmarkEnd w:id="5"/>
      <w:r w:rsidRPr="00512CA4">
        <w:t>Unit Sector</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Not applicable.</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6" w:name="O_1003008"/>
      <w:bookmarkEnd w:id="6"/>
      <w:r w:rsidRPr="00512CA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12C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PERFORMANCE CRITERIA</w:t>
            </w:r>
          </w:p>
        </w:tc>
      </w:tr>
      <w:tr w:rsidTr="00512C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Performance criteria describe the performance needed to demonstrate achievement of the element.</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rPr>
                <w:rStyle w:val="SpecialBold"/>
              </w:rPr>
              <w:t>Prepare to identify and interpret characteristics of electrical apparatus associated with power industry assets</w:t>
            </w: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Instructions for identifying the electr</w:t>
            </w:r>
            <w:r w:rsidRPr="00512CA4">
              <w:t>ical apparatus undergoing asset inspection are communicated and confirmed to ensure clear understanding</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Relevant requirements and established procedures for the work are communicated to all personnel and identified for all worksites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Work health and safety (WHS)/occupational health and safety (OHS) policies and procedures related to requirements and established procedures for the visual checking and treatment of poles and structures, and the inspection of overhead structures and electr</w:t>
            </w:r>
            <w:r w:rsidRPr="00512CA4">
              <w:t>ical apparatus used on the poles are obtained and confirmed</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Work is prioritised and sequenced following consultation with others for completion within acceptable timeframes and in accordance with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Hazards are identified,</w:t>
            </w:r>
            <w:r w:rsidRPr="00512CA4">
              <w:t xml:space="preserve"> WHS/OHS risks assessed and control measures prioritised, implemented and monitored according to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Relevant work permits are obtained, where necessary, to access and perform work according to requirements and/or established proc</w:t>
            </w:r>
            <w:r w:rsidRPr="00512CA4">
              <w:t>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Schedule for identifying poles and structures, and the inspection of overhead structures and electrical apparatus, including practices for working safely, are confirmed in accordance with instructions and requirements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Resources, including personnel, equipment, tools and personal protective equipment (PPE), required for the job are obtained and confirmed in working order</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Relevant person responsible for first aid and/or related work safety procedures at the worksit</w:t>
            </w:r>
            <w:r w:rsidRPr="00512CA4">
              <w:t xml:space="preserve">e are confirmed in </w:t>
            </w:r>
            <w:r w:rsidRPr="00512CA4">
              <w:t>accordance with established procedures to ensure safety measures are followed in the instance of an incident</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 xml:space="preserve">Liaison and communication issues with appropriate personnel, authorities, clients and land owners are resolved to carry </w:t>
            </w:r>
            <w:r w:rsidRPr="00512CA4">
              <w:t>out work where necessary</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Site is prepared according to the work schedule and to minimise risk and damage to property, commerce and individuals in accordance with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Personnel participating in the work are fully briefed and respective responsibilities confirmed in accordance with established procedures, where necessary</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Traffic management plan is identified and road signs, barriers and warning devices positioned</w:t>
            </w:r>
            <w:r w:rsidRPr="00512CA4">
              <w:t xml:space="preserve"> in accordance with requirements, where necessary</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rPr>
                <w:rStyle w:val="SpecialBold"/>
              </w:rPr>
              <w:t>Identify and interpret characteristics of electrical apparatus associated with power industry assets</w:t>
            </w: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WHS/OHS and sustainable energy and environmental principles and practices to reduce the incidents of accidents and minimise waste are monitored and followed in accordance with requirements and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 xml:space="preserve">Tools and equipment are selected </w:t>
            </w:r>
            <w:r w:rsidRPr="00512CA4">
              <w:t>appropriate to the task requirements and are used to produce desired outcomes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 xml:space="preserve">Schedule for identifying poles and structures, and the inspection of overhead structures and electrical apparatus used on the poles are followed to ensure </w:t>
            </w:r>
            <w:r w:rsidRPr="00512CA4">
              <w:t>work is completed in an agreed time, to a quality standard and with a minimum of waste using appropriate technology</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 xml:space="preserve">Essential knowledge and associated skills are applied for the safe identification of electrical apparatus to ensure completion in an </w:t>
            </w:r>
            <w:r w:rsidRPr="00512CA4">
              <w:t>agreed timeframe and to quality standards with a minimum of waste according to requirements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Hazard warnings and safety signs are recognised, hazards identified and WHS/OHS risks reported to immediate appropriate personnel for directions according to</w:t>
            </w:r>
            <w:r w:rsidRPr="00512CA4">
              <w:t xml:space="preserve">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Operational characteristics of the electrical apparatus and associated equipment are understood with respect to the primary purpose of the apparatus and associated equipment within the supply system</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Visual checks of the electrical apparatus and associated equipment are performed to identify defective or suspect condition</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Unplanned events during the identification of electrical apparatus and associated equipment are responded to within the scope</w:t>
            </w:r>
            <w:r w:rsidRPr="00512CA4">
              <w:t xml:space="preserve"> of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Known solutions to a variety of problems are applied using acquired knowledge and associated skills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Ongoing checks of quality of the work are undertaken in accordance with instructions and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rPr>
                <w:rStyle w:val="SpecialBold"/>
              </w:rPr>
              <w:t>Complete the identification and interpretation characteristics of electrical apparatus associated with power industry assets</w:t>
            </w: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Work undertaken is checked against work schedule for conformance with requirements and anomalies reported in accordance with e</w:t>
            </w:r>
            <w:r w:rsidRPr="00512CA4">
              <w:t>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Accidents and/or injuries are reported in accordance with requirements/established procedures, where applicable</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Worksite is rehabilitated, cleaned up and made safe in accordance with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Tools and any surplus resources and materials are, where appropriate, cleaned, checked and returned to storage according to established procedures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 xml:space="preserve">Unsafe or faulty tools are identified and marked for repair in accordance with established procedures </w:t>
            </w:r>
            <w:r w:rsidRPr="00512CA4">
              <w:t>before, during and after use</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Relevant work permits are signed off and poles and structures are returned to service in accordance with requirements</w:t>
            </w:r>
          </w:p>
        </w:tc>
      </w:tr>
      <w:tr w:rsidTr="00512C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Work completion records, reports and/or documentation and information are finalised and proce</w:t>
            </w:r>
            <w:r w:rsidRPr="00512CA4">
              <w:t>ssed and appropriate personnel notified</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7" w:name="O_1003009"/>
      <w:bookmarkEnd w:id="7"/>
      <w:r w:rsidRPr="00512CA4">
        <w:t>Foundation Skills</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Foundation skills essential to performance are explicit in the performance criteria of this unit of competency.</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8" w:name="O_1003010"/>
      <w:bookmarkEnd w:id="8"/>
      <w:r w:rsidRPr="00512CA4">
        <w:t>Range of Conditions</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Range is restricted to essential operating conditions and any other variables essential to the work environment.</w:t>
            </w:r>
          </w:p>
          <w:p w:rsidR="00000000" w:rsidRPr="00512CA4" w:rsidP="00512CA4">
            <w:pPr>
              <w:pStyle w:val="BodyText"/>
            </w:pPr>
            <w:r w:rsidRPr="00512CA4">
              <w:t>Non-essential conditions may be found in the Companion Volume Implementation Guide.</w:t>
            </w:r>
          </w:p>
        </w:tc>
      </w:tr>
    </w:tbl>
    <w:p w:rsidR="001B4FD4" w:rsidP="00512CA4">
      <w:pPr>
        <w:pStyle w:val="NoPaddingFontSize1"/>
      </w:pPr>
    </w:p>
    <w:p w:rsidR="001B4FD4" w:rsidP="00512CA4">
      <w:pPr>
        <w:pStyle w:val="NoPaddingFontSize1"/>
      </w:pPr>
    </w:p>
    <w:p w:rsidR="00000000" w:rsidRPr="00512CA4" w:rsidP="00512CA4">
      <w:pPr>
        <w:pStyle w:val="Heading1"/>
      </w:pPr>
      <w:bookmarkStart w:id="9" w:name="O_1003011"/>
      <w:bookmarkEnd w:id="9"/>
      <w:r w:rsidRPr="00512CA4">
        <w:t>Unit Mapping Information</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This unit re</w:t>
            </w:r>
            <w:r w:rsidRPr="00512CA4">
              <w:t>places and is equivalent to UETTDREL19A Identify and interpret characteristics of electrical apparatus associated with power industry assets.</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10" w:name="O_1003018"/>
      <w:bookmarkEnd w:id="10"/>
      <w:r w:rsidRPr="00512CA4">
        <w:t>Links</w:t>
      </w:r>
    </w:p>
    <w:p w:rsidR="00000000" w:rsidRPr="00512CA4" w:rsidP="001B4FD4">
      <w:pPr>
        <w:pStyle w:val="BodyText"/>
      </w:pPr>
      <w:r w:rsidRPr="00512CA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E1DB0">
        <w:rPr>
          <w:rStyle w:val="Hyperlink"/>
        </w:rPr>
        <w:t>https://vetnet.gov.au/Pages/TrainingDocs.aspx?q=229bace1-b7bc-4653-9300-dffb13ecfad7</w:t>
      </w:r>
      <w:r>
        <w:fldChar w:fldCharType="end"/>
      </w:r>
    </w:p>
    <w:p w:rsidR="00000000" w:rsidRPr="00512CA4" w:rsidP="001B4FD4">
      <w:pPr>
        <w:pStyle w:val="BodyText"/>
        <w:sectPr w:rsidSect="00512CA4">
          <w:headerReference w:type="default" r:id="rId10"/>
          <w:footerReference w:type="default" r:id="rId11"/>
          <w:pgSz w:w="11908" w:h="16833"/>
          <w:pgMar w:top="1702" w:right="1418" w:bottom="1702" w:left="1418" w:header="992" w:footer="992" w:gutter="0"/>
          <w:cols w:space="720"/>
          <w:noEndnote/>
          <w:docGrid w:linePitch="299"/>
        </w:sectPr>
      </w:pPr>
    </w:p>
    <w:p w:rsidR="00000000" w:rsidRPr="00512CA4" w:rsidP="00512CA4">
      <w:pPr>
        <w:pStyle w:val="SuperHeading"/>
      </w:pPr>
      <w:r w:rsidRPr="00512CA4">
        <w:t xml:space="preserve">Assessment </w:t>
      </w:r>
      <w:r w:rsidRPr="00512CA4">
        <w:t>Requirements for UETTDREL19 Identify and interpret characteristics of electrical apparatus associated with power industry assets</w:t>
      </w:r>
    </w:p>
    <w:p w:rsidR="00000000" w:rsidRPr="00512CA4" w:rsidP="00512CA4">
      <w:pPr>
        <w:pStyle w:val="Heading1"/>
      </w:pPr>
      <w:bookmarkStart w:id="11" w:name="O_1003013"/>
      <w:bookmarkEnd w:id="11"/>
      <w:r w:rsidRPr="00512CA4">
        <w:t>Modification History</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Release 1. This is the first release of this unit of competency in the UET Transmission,</w:t>
            </w:r>
            <w:r w:rsidRPr="00512CA4">
              <w:t xml:space="preserve"> Distribution and Rail Sector Training Package.</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12" w:name="O_1003014"/>
      <w:bookmarkEnd w:id="12"/>
      <w:r w:rsidRPr="00512CA4">
        <w:t>Performance Evidence</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 xml:space="preserve">Evidence required to demonstrate competence in this unit must be relevant to and satisfy all of the requirements of the elements and performance criteria on </w:t>
            </w:r>
            <w:r w:rsidRPr="00512CA4">
              <w:t xml:space="preserve">at least two separate occasions and include:  </w:t>
            </w:r>
          </w:p>
        </w:tc>
      </w:tr>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ListBullet"/>
            </w:pPr>
            <w:r w:rsidRPr="00512CA4">
              <w:t>applying relevant work health and safety (WHS)/occupational health and safety (OHS) requirements, including the use of risk control measures</w:t>
            </w:r>
          </w:p>
          <w:p w:rsidR="00000000" w:rsidRPr="00512CA4" w:rsidP="00512CA4">
            <w:pPr>
              <w:pStyle w:val="ListBullet"/>
            </w:pPr>
            <w:r w:rsidRPr="00512CA4">
              <w:t>applying sustainable energy principles and practices</w:t>
            </w:r>
          </w:p>
          <w:p w:rsidR="00000000" w:rsidRPr="00512CA4" w:rsidP="00512CA4">
            <w:pPr>
              <w:pStyle w:val="ListBullet"/>
            </w:pPr>
            <w:r w:rsidRPr="00512CA4">
              <w:t>confirming op</w:t>
            </w:r>
            <w:r w:rsidRPr="00512CA4">
              <w:t>erational knowledge associated with the characteristics of electrical apparatus in eight (8) of the following:</w:t>
            </w:r>
          </w:p>
          <w:p w:rsidR="00000000" w:rsidRPr="00512CA4" w:rsidP="00512CA4">
            <w:pPr>
              <w:pStyle w:val="ListBullet2"/>
            </w:pPr>
            <w:r w:rsidRPr="00512CA4">
              <w:t>single wire earth return (SWER)</w:t>
            </w:r>
          </w:p>
          <w:p w:rsidR="00000000" w:rsidRPr="00512CA4" w:rsidP="00512CA4">
            <w:pPr>
              <w:pStyle w:val="ListBullet2"/>
            </w:pPr>
            <w:r w:rsidRPr="00512CA4">
              <w:t>high voltage (HV) overhead conductors and cables</w:t>
            </w:r>
          </w:p>
          <w:p w:rsidR="00000000" w:rsidRPr="00512CA4" w:rsidP="00512CA4">
            <w:pPr>
              <w:pStyle w:val="ListBullet2"/>
            </w:pPr>
            <w:r w:rsidRPr="00512CA4">
              <w:t>low voltage (LV) overhead conductors and cables</w:t>
            </w:r>
          </w:p>
          <w:p w:rsidR="00000000" w:rsidRPr="00512CA4" w:rsidP="00512CA4">
            <w:pPr>
              <w:pStyle w:val="ListBullet2"/>
            </w:pPr>
            <w:r w:rsidRPr="00512CA4">
              <w:t>underground cables (as attached to the poles)</w:t>
            </w:r>
          </w:p>
          <w:p w:rsidR="00000000" w:rsidRPr="00512CA4" w:rsidP="00512CA4">
            <w:pPr>
              <w:pStyle w:val="ListBullet2"/>
            </w:pPr>
            <w:r w:rsidRPr="00512CA4">
              <w:t>overhead transition points and termination hardware</w:t>
            </w:r>
          </w:p>
          <w:p w:rsidR="00000000" w:rsidRPr="00512CA4" w:rsidP="00512CA4">
            <w:pPr>
              <w:pStyle w:val="ListBullet2"/>
            </w:pPr>
            <w:r w:rsidRPr="00512CA4">
              <w:t>vibration mitigation hardware</w:t>
            </w:r>
          </w:p>
          <w:p w:rsidR="00000000" w:rsidRPr="00512CA4" w:rsidP="00512CA4">
            <w:pPr>
              <w:pStyle w:val="ListBullet2"/>
            </w:pPr>
            <w:r w:rsidRPr="00512CA4">
              <w:t>insulators, cross-arms, cross-arm mountings and brackets</w:t>
            </w:r>
          </w:p>
          <w:p w:rsidR="00000000" w:rsidRPr="00512CA4" w:rsidP="00512CA4">
            <w:pPr>
              <w:pStyle w:val="ListBullet2"/>
            </w:pPr>
            <w:r w:rsidRPr="00512CA4">
              <w:t xml:space="preserve">switches, HV fuses and fuse carriers, surge diverters and auto-reclose </w:t>
            </w:r>
            <w:r w:rsidRPr="00512CA4">
              <w:t>devices</w:t>
            </w:r>
          </w:p>
          <w:p w:rsidR="00000000" w:rsidRPr="00512CA4" w:rsidP="00512CA4">
            <w:pPr>
              <w:pStyle w:val="ListBullet2"/>
            </w:pPr>
            <w:r w:rsidRPr="00512CA4">
              <w:t>pole mounted transformers and substations</w:t>
            </w:r>
          </w:p>
          <w:p w:rsidR="00000000" w:rsidRPr="00512CA4" w:rsidP="00512CA4">
            <w:pPr>
              <w:pStyle w:val="ListBullet2"/>
            </w:pPr>
            <w:r w:rsidRPr="00512CA4">
              <w:t>possum guards and earth guards</w:t>
            </w:r>
          </w:p>
          <w:p w:rsidR="00000000" w:rsidRPr="00512CA4" w:rsidP="00512CA4">
            <w:pPr>
              <w:pStyle w:val="ListBullet2"/>
            </w:pPr>
            <w:r w:rsidRPr="00512CA4">
              <w:t>angle of the pole</w:t>
            </w:r>
          </w:p>
          <w:p w:rsidR="00000000" w:rsidRPr="00512CA4" w:rsidP="00512CA4">
            <w:pPr>
              <w:pStyle w:val="ListBullet2"/>
            </w:pPr>
            <w:r w:rsidRPr="00512CA4">
              <w:t>height of conductors</w:t>
            </w:r>
          </w:p>
          <w:p w:rsidR="00000000" w:rsidRPr="00512CA4" w:rsidP="00512CA4">
            <w:pPr>
              <w:pStyle w:val="ListBullet2"/>
            </w:pPr>
            <w:r w:rsidRPr="00512CA4">
              <w:t>public lights, bolts and associated pole fixings</w:t>
            </w:r>
          </w:p>
          <w:p w:rsidR="00000000" w:rsidRPr="00512CA4" w:rsidP="00512CA4">
            <w:pPr>
              <w:pStyle w:val="ListBullet"/>
            </w:pPr>
            <w:r w:rsidRPr="00512CA4">
              <w:t>confirming knowledge associated with the characteristics of at least four (4) of the f</w:t>
            </w:r>
            <w:r w:rsidRPr="00512CA4">
              <w:t>ollowing:</w:t>
            </w:r>
          </w:p>
          <w:p w:rsidR="00000000" w:rsidRPr="00512CA4" w:rsidP="00512CA4">
            <w:pPr>
              <w:pStyle w:val="ListBullet2"/>
            </w:pPr>
            <w:r w:rsidRPr="00512CA4">
              <w:t>wood pole</w:t>
            </w:r>
          </w:p>
          <w:p w:rsidR="00000000" w:rsidRPr="00512CA4" w:rsidP="00512CA4">
            <w:pPr>
              <w:pStyle w:val="ListBullet2"/>
            </w:pPr>
            <w:r w:rsidRPr="00512CA4">
              <w:t>steel pole</w:t>
            </w:r>
          </w:p>
          <w:p w:rsidR="00000000" w:rsidRPr="00512CA4" w:rsidP="00512CA4">
            <w:pPr>
              <w:pStyle w:val="ListBullet2"/>
            </w:pPr>
            <w:r w:rsidRPr="00512CA4">
              <w:t>concrete pole</w:t>
            </w:r>
          </w:p>
          <w:p w:rsidR="00000000" w:rsidRPr="00512CA4" w:rsidP="00512CA4">
            <w:pPr>
              <w:pStyle w:val="ListBullet2"/>
            </w:pPr>
            <w:r w:rsidRPr="00512CA4">
              <w:t>composite pole</w:t>
            </w:r>
          </w:p>
          <w:p w:rsidR="00000000" w:rsidRPr="00512CA4" w:rsidP="00512CA4">
            <w:pPr>
              <w:pStyle w:val="ListBullet2"/>
            </w:pPr>
            <w:r w:rsidRPr="00512CA4">
              <w:t>reinforced poles</w:t>
            </w:r>
          </w:p>
          <w:p w:rsidR="00000000" w:rsidRPr="00512CA4" w:rsidP="00512CA4">
            <w:pPr>
              <w:pStyle w:val="ListBullet"/>
            </w:pPr>
            <w:r w:rsidRPr="00512CA4">
              <w:t>dealing with unplanned events on at least one (1) occasion.</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13" w:name="O_1003015"/>
      <w:bookmarkEnd w:id="13"/>
      <w:r w:rsidRPr="00512CA4">
        <w:t>Knowledge Evidence</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2CA4">
            <w:pPr>
              <w:pStyle w:val="BodyText"/>
              <w:rPr>
                <w:lang w:val="en-NZ"/>
              </w:rPr>
            </w:pPr>
            <w:r w:rsidRPr="00512CA4">
              <w:t>Evidence required to demonstrate competence in this unit must be relevant to and satisfy all of the requirements of the elements and performance criteria and include knowledge of:</w:t>
            </w:r>
          </w:p>
        </w:tc>
      </w:tr>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ListBullet"/>
            </w:pPr>
            <w:r w:rsidRPr="00512CA4">
              <w:t>electrical apparatus safety requirements encompassing:</w:t>
            </w:r>
          </w:p>
          <w:p w:rsidR="00000000" w:rsidRPr="00512CA4" w:rsidP="00512CA4">
            <w:pPr>
              <w:pStyle w:val="ListBullet2"/>
            </w:pPr>
            <w:r w:rsidRPr="00512CA4">
              <w:t>working safely wit</w:t>
            </w:r>
            <w:r w:rsidRPr="00512CA4">
              <w:t>h machinery and equipment near live electrical apparatus</w:t>
            </w:r>
          </w:p>
          <w:p w:rsidR="00000000" w:rsidRPr="00512CA4" w:rsidP="00512CA4">
            <w:pPr>
              <w:pStyle w:val="ListBullet2"/>
            </w:pPr>
            <w:r w:rsidRPr="00512CA4">
              <w:t>selecting and using appropriate personal protective equipment (PPE)</w:t>
            </w:r>
          </w:p>
          <w:p w:rsidR="00000000" w:rsidRPr="00512CA4" w:rsidP="00512CA4">
            <w:pPr>
              <w:pStyle w:val="ListBullet2"/>
            </w:pPr>
            <w:r w:rsidRPr="00512CA4">
              <w:t>implementing emergency procedures for the rescue of an electric shock victim</w:t>
            </w:r>
          </w:p>
          <w:p w:rsidR="00000000" w:rsidRPr="00512CA4" w:rsidP="00512CA4">
            <w:pPr>
              <w:pStyle w:val="ListBullet2"/>
            </w:pPr>
            <w:r w:rsidRPr="00512CA4">
              <w:t>providing emergency first aid for an electric shock victim</w:t>
            </w:r>
          </w:p>
          <w:p w:rsidR="00000000" w:rsidRPr="00512CA4" w:rsidP="00512CA4">
            <w:pPr>
              <w:pStyle w:val="ListBullet"/>
            </w:pPr>
            <w:r w:rsidRPr="00512CA4">
              <w:t>inspection of electrical apparatus encompassing:</w:t>
            </w:r>
          </w:p>
          <w:p w:rsidR="00000000" w:rsidRPr="00512CA4" w:rsidP="00512CA4">
            <w:pPr>
              <w:pStyle w:val="ListBullet2"/>
            </w:pPr>
            <w:r w:rsidRPr="00512CA4">
              <w:t>standards, codes, legislation, supply authority regulations and/or enterprise requirements</w:t>
            </w:r>
          </w:p>
          <w:p w:rsidR="00000000" w:rsidRPr="00512CA4" w:rsidP="00512CA4">
            <w:pPr>
              <w:pStyle w:val="ListBullet2"/>
            </w:pPr>
            <w:r w:rsidRPr="00512CA4">
              <w:t>visual checking of poles and structures</w:t>
            </w:r>
          </w:p>
          <w:p w:rsidR="00000000" w:rsidRPr="00512CA4" w:rsidP="00512CA4">
            <w:pPr>
              <w:pStyle w:val="ListBullet2"/>
            </w:pPr>
            <w:r w:rsidRPr="00512CA4">
              <w:t xml:space="preserve">identification </w:t>
            </w:r>
            <w:r w:rsidRPr="00512CA4">
              <w:t xml:space="preserve">of electrical apparatus associated with power industry assets within the electrical distribution system - SWER, HV overhead conductors and cables, LV overhead conductors and cables, underground cables (as attached to the poles), overhead transition points </w:t>
            </w:r>
            <w:r w:rsidRPr="00512CA4">
              <w:t>and termination hardware, vibration mitigation hardware, insulators, cross-arms, cross-arm mountings and brackets, switches, HV fuses  and fuse carriers, surge diverters, auto-reclose devices, pole mounted transformers and substations, possum guards, earth</w:t>
            </w:r>
            <w:r w:rsidRPr="00512CA4">
              <w:t xml:space="preserve"> guards, angle of the pole, height of conductors, public lights, bolts and associated pole fixings</w:t>
            </w:r>
          </w:p>
          <w:p w:rsidR="00000000" w:rsidRPr="00512CA4" w:rsidP="00512CA4">
            <w:pPr>
              <w:pStyle w:val="ListBullet2"/>
            </w:pPr>
            <w:r w:rsidRPr="00512CA4">
              <w:t>operational knowledge of the purpose of electrical apparatus associated with power industry assets within the electrical distribution system - SWER, HV overh</w:t>
            </w:r>
            <w:r w:rsidRPr="00512CA4">
              <w:t>ead conductors and cables, LV overhead conductors and cables, underground cables (as attached to the poles), overhead transition points and termination hardware, vibration mitigation hardware, insulators, cross-arms, cross-arm mountings and brackets, switc</w:t>
            </w:r>
            <w:r w:rsidRPr="00512CA4">
              <w:t>hes, HV fuses and fuse carriers, surge diverters, auto-reclose devices, pole mounted transformers and substations, possum guards, earth guards, angle of the pole, height of conductors, public lights, bolts and associated pole fixings</w:t>
            </w:r>
          </w:p>
          <w:p w:rsidR="00000000" w:rsidRPr="00512CA4" w:rsidP="00512CA4">
            <w:pPr>
              <w:pStyle w:val="ListBullet2"/>
            </w:pPr>
            <w:r w:rsidRPr="00512CA4">
              <w:t xml:space="preserve">interpretation of the </w:t>
            </w:r>
            <w:r w:rsidRPr="00512CA4">
              <w:t>operational characteristics and purpose of electrical apparatus associated with power industry assets</w:t>
            </w:r>
          </w:p>
          <w:p w:rsidR="00000000" w:rsidRPr="00512CA4" w:rsidP="00512CA4">
            <w:pPr>
              <w:pStyle w:val="ListBullet2"/>
            </w:pPr>
            <w:r w:rsidRPr="00512CA4">
              <w:t>documenting inspection findings in accordance with enterprise requirements.</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14" w:name="O_1003016"/>
      <w:bookmarkEnd w:id="14"/>
      <w:r w:rsidRPr="00512CA4">
        <w:t>Assessment Conditions</w:t>
      </w:r>
    </w:p>
    <w:tbl>
      <w:tblPr>
        <w:tblW w:w="9497" w:type="dxa"/>
        <w:tblLayout w:type="fixed"/>
        <w:tblCellMar>
          <w:left w:w="62" w:type="dxa"/>
          <w:right w:w="62" w:type="dxa"/>
        </w:tblCellMar>
        <w:tblLook w:val="0000"/>
      </w:tblPr>
      <w:tblGrid>
        <w:gridCol w:w="9497"/>
      </w:tblGrid>
      <w:tr w:rsidTr="0051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CA4" w:rsidP="00512CA4">
            <w:pPr>
              <w:pStyle w:val="BodyText"/>
            </w:pPr>
            <w:r w:rsidRPr="00512CA4">
              <w:t>Assessors must hold credentials specified within the Standards for Registered Training Organisations current at the time of assessment.</w:t>
            </w:r>
          </w:p>
          <w:p w:rsidR="00000000" w:rsidRPr="00512CA4" w:rsidP="00512CA4">
            <w:pPr>
              <w:pStyle w:val="BodyText"/>
            </w:pPr>
            <w:r w:rsidRPr="00512CA4">
              <w:t>Assessment must satisfy the Principles of Assessment and Rules of Evidence and all regulatory requirements included with</w:t>
            </w:r>
            <w:r w:rsidRPr="00512CA4">
              <w:t>in the Standards for Registered Training Organisations current at the time of assessment.</w:t>
            </w:r>
          </w:p>
          <w:p w:rsidR="00000000" w:rsidRPr="00512CA4" w:rsidP="00512CA4">
            <w:pPr>
              <w:pStyle w:val="BodyText"/>
            </w:pPr>
            <w:r w:rsidRPr="00512CA4">
              <w:t>Assessment must occur in workplace operational situations where it is appropriate to do so; where this is not appropriate, assessment must occur in simulated conditio</w:t>
            </w:r>
            <w:r w:rsidRPr="00512CA4">
              <w:t>ns involving realistic and authentic activities that replicate operational workplace conditions.</w:t>
            </w:r>
          </w:p>
          <w:p w:rsidR="00000000" w:rsidRPr="00512CA4" w:rsidP="00512CA4">
            <w:pPr>
              <w:pStyle w:val="BodyText"/>
            </w:pPr>
            <w:r w:rsidRPr="00512CA4">
              <w:t>Assessment processes and techniques must be appropriate to the language, literacy and numeracy requirements of the work being performed and the needs of the ca</w:t>
            </w:r>
            <w:r w:rsidRPr="00512CA4">
              <w:t>ndidate.</w:t>
            </w:r>
          </w:p>
          <w:p w:rsidR="00000000" w:rsidRPr="00512CA4" w:rsidP="00512CA4">
            <w:pPr>
              <w:pStyle w:val="BodyText"/>
            </w:pPr>
            <w:r w:rsidRPr="00512CA4">
              <w:t>Resources for assessment must include access to:</w:t>
            </w:r>
          </w:p>
          <w:p w:rsidR="00000000" w:rsidRPr="00512CA4" w:rsidP="00512CA4">
            <w:pPr>
              <w:pStyle w:val="ListBullet"/>
            </w:pPr>
            <w:r w:rsidRPr="00512CA4">
              <w:t>a range of relevant exercises, case studies and/or other simulations</w:t>
            </w:r>
          </w:p>
          <w:p w:rsidR="00000000" w:rsidRPr="00512CA4" w:rsidP="00512CA4">
            <w:pPr>
              <w:pStyle w:val="ListBullet"/>
            </w:pPr>
            <w:r w:rsidRPr="00512CA4">
              <w:t>relevant and appropriate materials, tools, equipment and PPE currently used in industry</w:t>
            </w:r>
          </w:p>
          <w:p w:rsidR="00000000" w:rsidRPr="00512CA4" w:rsidP="00512CA4">
            <w:pPr>
              <w:pStyle w:val="ListBullet"/>
            </w:pPr>
            <w:r w:rsidRPr="00512CA4">
              <w:t>applicable documentation, including work</w:t>
            </w:r>
            <w:r w:rsidRPr="00512CA4">
              <w:t>place procedures, equipment specifications, regulations, codes of practice and operation manuals.</w:t>
            </w:r>
          </w:p>
        </w:tc>
      </w:tr>
    </w:tbl>
    <w:p w:rsidR="00000000" w:rsidRPr="00512CA4" w:rsidP="00512CA4">
      <w:pPr>
        <w:pStyle w:val="NoPaddingFontSize1"/>
      </w:pPr>
    </w:p>
    <w:p w:rsidR="00000000" w:rsidRPr="00512CA4" w:rsidP="00512CA4">
      <w:pPr>
        <w:pStyle w:val="AllowPageBreak"/>
      </w:pPr>
    </w:p>
    <w:p w:rsidR="00000000" w:rsidRPr="00512CA4" w:rsidP="00512CA4">
      <w:pPr>
        <w:pStyle w:val="Heading1"/>
      </w:pPr>
      <w:bookmarkStart w:id="15" w:name="O_1003019"/>
      <w:bookmarkEnd w:id="15"/>
      <w:r w:rsidRPr="00512CA4">
        <w:t>Links</w:t>
      </w:r>
    </w:p>
    <w:p w:rsidR="00000000" w:rsidRPr="00512CA4" w:rsidP="001B4FD4">
      <w:pPr>
        <w:pStyle w:val="BodyText"/>
      </w:pPr>
      <w:r w:rsidRPr="00512CA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E1DB0">
        <w:rPr>
          <w:rStyle w:val="Hyperlink"/>
        </w:rPr>
        <w:t>https://vetnet.gov.au/Pages/TrainingDocs.aspx?q=229bace1-b7bc-4653-9300-dffb13ecfad7</w:t>
      </w:r>
      <w:r>
        <w:fldChar w:fldCharType="end"/>
      </w:r>
    </w:p>
    <w:p w:rsidR="00000000" w:rsidRPr="00512CA4" w:rsidP="00512CA4"/>
    <w:sectPr w:rsidSect="00512C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A4" w:rsidRPr="001B4FD4" w:rsidP="001B4F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D4" w:rsidP="00512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4FD4" w:rsidP="00512C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B4FD4" w:rsidP="00512C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A4" w:rsidP="00512CA4">
    <w:pPr>
      <w:pStyle w:val="Footer"/>
      <w:framePr w:wrap="around"/>
    </w:pPr>
    <w:r>
      <w:fldChar w:fldCharType="begin"/>
    </w:r>
    <w:r>
      <w:instrText xml:space="preserve"> DOCPROPERTY  Subject  \* MERGEFORMAT </w:instrText>
    </w:r>
    <w:r>
      <w:fldChar w:fldCharType="separate"/>
    </w:r>
    <w:r w:rsidR="001B4FD4">
      <w:t>Approved</w:t>
    </w:r>
    <w:r w:rsidR="001B4FD4">
      <w:fldChar w:fldCharType="end"/>
    </w:r>
    <w:r>
      <w:tab/>
      <w:t xml:space="preserve">Page </w:t>
    </w:r>
    <w:r>
      <w:fldChar w:fldCharType="begin"/>
    </w:r>
    <w:r>
      <w:instrText xml:space="preserve"> PAGE  \* Arabic  \* MERGEFORMAT </w:instrText>
    </w:r>
    <w:r>
      <w:fldChar w:fldCharType="separate"/>
    </w:r>
    <w:r w:rsidR="001B4F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4FD4">
      <w:rPr>
        <w:noProof/>
      </w:rPr>
      <w:t>5</w:t>
    </w:r>
    <w:r>
      <w:rPr>
        <w:noProof/>
      </w:rPr>
      <w:fldChar w:fldCharType="end"/>
    </w:r>
  </w:p>
  <w:p w:rsidR="00512CA4" w:rsidP="00512CA4">
    <w:pPr>
      <w:pStyle w:val="Footer"/>
      <w:framePr w:wrap="around"/>
    </w:pPr>
    <w:r>
      <w:t xml:space="preserve">© Commonwealth of Australia, </w:t>
    </w:r>
    <w:r>
      <w:fldChar w:fldCharType="begin"/>
    </w:r>
    <w:r>
      <w:instrText xml:space="preserve"> DATE  \@ "yyyy"  \* MERGEFORMAT </w:instrText>
    </w:r>
    <w:r>
      <w:fldChar w:fldCharType="separate"/>
    </w:r>
    <w:r w:rsidR="001B4FD4">
      <w:rPr>
        <w:noProof/>
      </w:rPr>
      <w:t>2025</w:t>
    </w:r>
    <w:r>
      <w:fldChar w:fldCharType="end"/>
    </w:r>
    <w:r>
      <w:tab/>
    </w:r>
    <w:r>
      <w:fldChar w:fldCharType="begin"/>
    </w:r>
    <w:r>
      <w:instrText xml:space="preserve"> DOCPROPERTY  Author  \* MERGEFORMAT </w:instrText>
    </w:r>
    <w:r>
      <w:fldChar w:fldCharType="separate"/>
    </w:r>
    <w:r w:rsidR="001B4FD4">
      <w:t>Powering Skills Organisation</w:t>
    </w:r>
    <w:r w:rsidR="001B4FD4">
      <w:fldChar w:fldCharType="end"/>
    </w:r>
  </w:p>
  <w:p w:rsidR="00512CA4" w:rsidP="00512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CA4" w:rsidRPr="001B4FD4" w:rsidP="001B4F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D4" w:rsidRPr="002D2AF8" w:rsidP="00512CA4">
    <w:pPr>
      <w:pStyle w:val="Header"/>
      <w:framePr w:wrap="around"/>
    </w:pPr>
    <w:r>
      <w:fldChar w:fldCharType="begin"/>
    </w:r>
    <w:r>
      <w:instrText xml:space="preserve"> TITLE   \* MERGEFORMAT </w:instrText>
    </w:r>
    <w:r>
      <w:fldChar w:fldCharType="separate"/>
    </w:r>
    <w:r>
      <w:t>UETTDREL19 Identify and interpret characteristics of electrical apparatus associated with power industry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4FD4" w:rsidP="00512C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A4" w:rsidRPr="002D2AF8" w:rsidP="00512CA4">
    <w:pPr>
      <w:pStyle w:val="Header"/>
      <w:framePr w:wrap="around"/>
    </w:pPr>
    <w:r>
      <w:fldChar w:fldCharType="begin"/>
    </w:r>
    <w:r>
      <w:instrText xml:space="preserve"> TITLE   \* MERGEFORMAT </w:instrText>
    </w:r>
    <w:r>
      <w:fldChar w:fldCharType="separate"/>
    </w:r>
    <w:r w:rsidR="001B4FD4">
      <w:t>UETTDREL19 Identify and interpret characteristics of electrical apparatus associated with power industry assets</w:t>
    </w:r>
    <w:r w:rsidR="001B4FD4">
      <w:fldChar w:fldCharType="end"/>
    </w:r>
    <w:r>
      <w:tab/>
      <w:t xml:space="preserve">Date this document was generated: </w:t>
    </w:r>
    <w:r>
      <w:fldChar w:fldCharType="begin"/>
    </w:r>
    <w:r>
      <w:instrText xml:space="preserve"> CREATEDATE  \@ "d MMMM yyyy"  \* MERGEFORMAT </w:instrText>
    </w:r>
    <w:r>
      <w:fldChar w:fldCharType="separate"/>
    </w:r>
    <w:r w:rsidR="001B4FD4">
      <w:rPr>
        <w:noProof/>
      </w:rPr>
      <w:t>2 March 2025</w:t>
    </w:r>
    <w:r>
      <w:fldChar w:fldCharType="end"/>
    </w:r>
  </w:p>
  <w:p w:rsidR="00512CA4" w:rsidP="00512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E2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89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12D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CA4"/>
    <w:pPr>
      <w:spacing w:before="360" w:after="60"/>
      <w:outlineLvl w:val="0"/>
    </w:pPr>
    <w:rPr>
      <w:sz w:val="32"/>
    </w:rPr>
  </w:style>
  <w:style w:type="paragraph" w:styleId="Heading2">
    <w:name w:val="heading 2"/>
    <w:basedOn w:val="HeadingBase"/>
    <w:next w:val="BodyText"/>
    <w:link w:val="Heading2Char"/>
    <w:qFormat/>
    <w:rsid w:val="00512CA4"/>
    <w:pPr>
      <w:keepLines/>
      <w:spacing w:before="240" w:after="120"/>
      <w:outlineLvl w:val="1"/>
    </w:pPr>
    <w:rPr>
      <w:sz w:val="28"/>
      <w:szCs w:val="40"/>
    </w:rPr>
  </w:style>
  <w:style w:type="paragraph" w:styleId="Heading3">
    <w:name w:val="heading 3"/>
    <w:basedOn w:val="HeadingBase"/>
    <w:next w:val="BodyText"/>
    <w:link w:val="Heading3Char"/>
    <w:qFormat/>
    <w:rsid w:val="00512CA4"/>
    <w:pPr>
      <w:spacing w:before="180" w:after="120"/>
      <w:outlineLvl w:val="2"/>
    </w:pPr>
    <w:rPr>
      <w:spacing w:val="-10"/>
      <w:kern w:val="32"/>
    </w:rPr>
  </w:style>
  <w:style w:type="paragraph" w:styleId="Heading4">
    <w:name w:val="heading 4"/>
    <w:basedOn w:val="HeadingBase"/>
    <w:next w:val="BodyText"/>
    <w:link w:val="Heading4Char"/>
    <w:qFormat/>
    <w:rsid w:val="00512CA4"/>
    <w:pPr>
      <w:spacing w:before="160" w:after="120"/>
      <w:outlineLvl w:val="3"/>
    </w:pPr>
    <w:rPr>
      <w:sz w:val="22"/>
    </w:rPr>
  </w:style>
  <w:style w:type="paragraph" w:styleId="Heading5">
    <w:name w:val="heading 5"/>
    <w:basedOn w:val="HeadingBase"/>
    <w:next w:val="Normal"/>
    <w:link w:val="Heading5Char"/>
    <w:qFormat/>
    <w:rsid w:val="00512CA4"/>
    <w:pPr>
      <w:spacing w:before="80"/>
      <w:outlineLvl w:val="4"/>
    </w:pPr>
    <w:rPr>
      <w:color w:val="918585"/>
      <w:sz w:val="20"/>
    </w:rPr>
  </w:style>
  <w:style w:type="paragraph" w:styleId="Heading6">
    <w:name w:val="heading 6"/>
    <w:basedOn w:val="HeadingBase"/>
    <w:next w:val="Normal"/>
    <w:link w:val="Heading6Char"/>
    <w:qFormat/>
    <w:rsid w:val="00512CA4"/>
    <w:pPr>
      <w:spacing w:before="60"/>
      <w:outlineLvl w:val="5"/>
    </w:pPr>
    <w:rPr>
      <w:color w:val="918585"/>
      <w:sz w:val="20"/>
    </w:rPr>
  </w:style>
  <w:style w:type="paragraph" w:styleId="Heading7">
    <w:name w:val="heading 7"/>
    <w:basedOn w:val="Normal"/>
    <w:next w:val="Normal"/>
    <w:link w:val="Heading7Char"/>
    <w:qFormat/>
    <w:rsid w:val="00512CA4"/>
    <w:pPr>
      <w:ind w:left="720"/>
      <w:outlineLvl w:val="6"/>
    </w:pPr>
    <w:rPr>
      <w:i/>
    </w:rPr>
  </w:style>
  <w:style w:type="paragraph" w:styleId="Heading8">
    <w:name w:val="heading 8"/>
    <w:basedOn w:val="Normal"/>
    <w:next w:val="Normal"/>
    <w:link w:val="Heading8Char"/>
    <w:qFormat/>
    <w:rsid w:val="00512CA4"/>
    <w:pPr>
      <w:ind w:left="720"/>
      <w:outlineLvl w:val="7"/>
    </w:pPr>
    <w:rPr>
      <w:i/>
    </w:rPr>
  </w:style>
  <w:style w:type="paragraph" w:styleId="Heading9">
    <w:name w:val="heading 9"/>
    <w:basedOn w:val="Normal"/>
    <w:next w:val="Normal"/>
    <w:link w:val="Heading9Char"/>
    <w:qFormat/>
    <w:rsid w:val="00512CA4"/>
    <w:pPr>
      <w:ind w:left="720"/>
      <w:outlineLvl w:val="8"/>
    </w:pPr>
    <w:rPr>
      <w:i/>
    </w:rPr>
  </w:style>
  <w:style w:type="character" w:default="1" w:styleId="DefaultParagraphFont">
    <w:name w:val="Default Paragraph Font"/>
    <w:uiPriority w:val="1"/>
    <w:unhideWhenUsed/>
    <w:rsid w:val="00512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CA4"/>
  </w:style>
  <w:style w:type="character" w:customStyle="1" w:styleId="Heading1Char">
    <w:name w:val="Heading 1 Char"/>
    <w:basedOn w:val="DefaultParagraphFont"/>
    <w:link w:val="Heading1"/>
    <w:rsid w:val="00512CA4"/>
    <w:rPr>
      <w:rFonts w:ascii="Times New Roman" w:eastAsia="Times New Roman" w:hAnsi="Times New Roman" w:cs="Times New Roman"/>
      <w:b/>
      <w:sz w:val="32"/>
      <w:szCs w:val="20"/>
      <w:lang w:eastAsia="en-US"/>
    </w:rPr>
  </w:style>
  <w:style w:type="paragraph" w:styleId="BodyText">
    <w:name w:val="Body Text"/>
    <w:basedOn w:val="Normal"/>
    <w:link w:val="BodyTextChar"/>
    <w:rsid w:val="00512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CA4"/>
    <w:rPr>
      <w:rFonts w:ascii="Times New Roman" w:eastAsia="Times New Roman" w:hAnsi="Times New Roman" w:cs="Times New Roman"/>
      <w:sz w:val="24"/>
      <w:lang w:eastAsia="en-US"/>
    </w:rPr>
  </w:style>
  <w:style w:type="paragraph" w:styleId="ListBullet">
    <w:name w:val="List Bullet"/>
    <w:basedOn w:val="List"/>
    <w:rsid w:val="00512CA4"/>
    <w:pPr>
      <w:numPr>
        <w:numId w:val="12"/>
      </w:numPr>
      <w:tabs>
        <w:tab w:val="clear" w:pos="340"/>
      </w:tabs>
      <w:spacing w:before="40" w:after="40"/>
    </w:pPr>
  </w:style>
  <w:style w:type="character" w:customStyle="1" w:styleId="SpecialBold">
    <w:name w:val="Special Bold"/>
    <w:basedOn w:val="DefaultParagraphFont"/>
    <w:rsid w:val="00512CA4"/>
    <w:rPr>
      <w:b/>
      <w:spacing w:val="0"/>
    </w:rPr>
  </w:style>
  <w:style w:type="paragraph" w:styleId="ListBullet2">
    <w:name w:val="List Bullet 2"/>
    <w:basedOn w:val="List2"/>
    <w:rsid w:val="00512CA4"/>
    <w:pPr>
      <w:numPr>
        <w:numId w:val="13"/>
      </w:numPr>
      <w:tabs>
        <w:tab w:val="clear" w:pos="680"/>
      </w:tabs>
    </w:pPr>
  </w:style>
  <w:style w:type="paragraph" w:customStyle="1" w:styleId="SuperHeading">
    <w:name w:val="SuperHeading"/>
    <w:basedOn w:val="Normal"/>
    <w:rsid w:val="00512CA4"/>
    <w:pPr>
      <w:spacing w:before="240" w:after="120"/>
      <w:outlineLvl w:val="0"/>
    </w:pPr>
    <w:rPr>
      <w:rFonts w:ascii="Times New Roman" w:hAnsi="Times New Roman"/>
      <w:b/>
      <w:sz w:val="32"/>
    </w:rPr>
  </w:style>
  <w:style w:type="paragraph" w:customStyle="1" w:styleId="AllowPageBreak">
    <w:name w:val="AllowPageBreak"/>
    <w:rsid w:val="00512C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2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CA4"/>
    <w:rPr>
      <w:rFonts w:ascii="Courier New" w:eastAsia="Times New Roman" w:hAnsi="Courier New" w:cs="Times New Roman"/>
      <w:i/>
      <w:szCs w:val="20"/>
      <w:lang w:eastAsia="en-US"/>
    </w:rPr>
  </w:style>
  <w:style w:type="paragraph" w:customStyle="1" w:styleId="HeadingBase">
    <w:name w:val="Heading Base"/>
    <w:rsid w:val="00512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CA4"/>
    <w:pPr>
      <w:tabs>
        <w:tab w:val="right" w:leader="dot" w:pos="9072"/>
      </w:tabs>
      <w:ind w:left="567"/>
    </w:pPr>
    <w:rPr>
      <w:szCs w:val="22"/>
    </w:rPr>
  </w:style>
  <w:style w:type="paragraph" w:customStyle="1" w:styleId="TOCBase">
    <w:name w:val="TOC Base"/>
    <w:rsid w:val="00512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CA4"/>
    <w:pPr>
      <w:tabs>
        <w:tab w:val="right" w:leader="dot" w:pos="9072"/>
      </w:tabs>
      <w:spacing w:before="40" w:after="40"/>
      <w:ind w:left="284"/>
    </w:pPr>
    <w:rPr>
      <w:rFonts w:ascii="Times New Roman" w:hAnsi="Times New Roman"/>
    </w:rPr>
  </w:style>
  <w:style w:type="paragraph" w:styleId="TOC1">
    <w:name w:val="toc 1"/>
    <w:basedOn w:val="TOCBase"/>
    <w:next w:val="Normal"/>
    <w:rsid w:val="00512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CA4"/>
    <w:rPr>
      <w:rFonts w:ascii="Times New Roman" w:eastAsia="Times New Roman" w:hAnsi="Times New Roman" w:cs="Times New Roman"/>
      <w:sz w:val="16"/>
      <w:lang w:eastAsia="en-US"/>
    </w:rPr>
  </w:style>
  <w:style w:type="paragraph" w:styleId="Title">
    <w:name w:val="Title"/>
    <w:basedOn w:val="HeadingBase"/>
    <w:link w:val="TitleChar"/>
    <w:qFormat/>
    <w:rsid w:val="00512CA4"/>
    <w:pPr>
      <w:spacing w:before="5040"/>
      <w:jc w:val="center"/>
    </w:pPr>
    <w:rPr>
      <w:sz w:val="48"/>
      <w:szCs w:val="72"/>
      <w:lang w:val="en-US"/>
    </w:rPr>
  </w:style>
  <w:style w:type="character" w:customStyle="1" w:styleId="TitleChar">
    <w:name w:val="Title Char"/>
    <w:basedOn w:val="DefaultParagraphFont"/>
    <w:link w:val="Title"/>
    <w:rsid w:val="00512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CA4"/>
    <w:pPr>
      <w:tabs>
        <w:tab w:val="left" w:pos="3600"/>
        <w:tab w:val="left" w:pos="3958"/>
      </w:tabs>
    </w:pPr>
  </w:style>
  <w:style w:type="paragraph" w:styleId="List">
    <w:name w:val="List"/>
    <w:basedOn w:val="BodyText"/>
    <w:next w:val="BodyText"/>
    <w:rsid w:val="00512CA4"/>
    <w:pPr>
      <w:tabs>
        <w:tab w:val="left" w:pos="340"/>
      </w:tabs>
      <w:spacing w:before="60" w:after="60"/>
      <w:ind w:left="340" w:hanging="340"/>
    </w:pPr>
  </w:style>
  <w:style w:type="paragraph" w:customStyle="1" w:styleId="Note">
    <w:name w:val="Note"/>
    <w:basedOn w:val="BodyText"/>
    <w:rsid w:val="00512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CA4"/>
    <w:pPr>
      <w:framePr w:wrap="auto" w:hAnchor="text" w:y="6049"/>
    </w:pPr>
    <w:rPr>
      <w:color w:val="000000"/>
      <w:sz w:val="40"/>
    </w:rPr>
  </w:style>
  <w:style w:type="paragraph" w:customStyle="1" w:styleId="TOCTitle">
    <w:name w:val="TOCTitle"/>
    <w:basedOn w:val="Heading1"/>
    <w:rsid w:val="00512CA4"/>
    <w:pPr>
      <w:spacing w:after="240"/>
      <w:jc w:val="center"/>
      <w:outlineLvl w:val="9"/>
    </w:pPr>
    <w:rPr>
      <w:caps/>
    </w:rPr>
  </w:style>
  <w:style w:type="paragraph" w:customStyle="1" w:styleId="Version">
    <w:name w:val="Version"/>
    <w:rsid w:val="00512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CA4"/>
    <w:pPr>
      <w:keepNext w:val="0"/>
      <w:tabs>
        <w:tab w:val="right" w:pos="4176"/>
      </w:tabs>
      <w:ind w:left="198" w:hanging="198"/>
    </w:pPr>
    <w:rPr>
      <w:rFonts w:ascii="Garamond" w:hAnsi="Garamond"/>
    </w:rPr>
  </w:style>
  <w:style w:type="paragraph" w:styleId="IndexHeading">
    <w:name w:val="index heading"/>
    <w:basedOn w:val="Normal"/>
    <w:next w:val="Index1"/>
    <w:semiHidden/>
    <w:rsid w:val="00512CA4"/>
    <w:pPr>
      <w:spacing w:before="120" w:after="120"/>
    </w:pPr>
    <w:rPr>
      <w:rFonts w:ascii="Arial" w:hAnsi="Arial"/>
      <w:b/>
      <w:color w:val="918585"/>
      <w:sz w:val="24"/>
    </w:rPr>
  </w:style>
  <w:style w:type="paragraph" w:styleId="Header">
    <w:name w:val="header"/>
    <w:basedOn w:val="Normal"/>
    <w:link w:val="HeaderChar"/>
    <w:rsid w:val="00512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CA4"/>
    <w:rPr>
      <w:rFonts w:ascii="Times New Roman" w:eastAsia="Times New Roman" w:hAnsi="Times New Roman" w:cs="Times New Roman"/>
      <w:sz w:val="16"/>
      <w:szCs w:val="20"/>
      <w:lang w:val="en-GB" w:eastAsia="en-US"/>
    </w:rPr>
  </w:style>
  <w:style w:type="paragraph" w:customStyle="1" w:styleId="Chapter">
    <w:name w:val="Chapter"/>
    <w:basedOn w:val="Normal"/>
    <w:rsid w:val="00512CA4"/>
    <w:pPr>
      <w:spacing w:before="240"/>
    </w:pPr>
    <w:rPr>
      <w:rFonts w:ascii="Times New Roman" w:hAnsi="Times New Roman"/>
      <w:smallCaps/>
      <w:spacing w:val="80"/>
      <w:sz w:val="28"/>
    </w:rPr>
  </w:style>
  <w:style w:type="paragraph" w:customStyle="1" w:styleId="InChapter">
    <w:name w:val="InChapter"/>
    <w:basedOn w:val="Heading3"/>
    <w:rsid w:val="00512CA4"/>
    <w:pPr>
      <w:spacing w:after="240"/>
      <w:outlineLvl w:val="9"/>
    </w:pPr>
    <w:rPr>
      <w:noProof/>
    </w:rPr>
  </w:style>
  <w:style w:type="paragraph" w:styleId="Index2">
    <w:name w:val="index 2"/>
    <w:basedOn w:val="Normal"/>
    <w:next w:val="Normal"/>
    <w:semiHidden/>
    <w:rsid w:val="00512CA4"/>
    <w:pPr>
      <w:tabs>
        <w:tab w:val="right" w:pos="4176"/>
      </w:tabs>
      <w:ind w:left="568" w:hanging="284"/>
    </w:pPr>
    <w:rPr>
      <w:rFonts w:ascii="Garamond" w:hAnsi="Garamond"/>
    </w:rPr>
  </w:style>
  <w:style w:type="paragraph" w:customStyle="1" w:styleId="Byline">
    <w:name w:val="Byline"/>
    <w:rsid w:val="00512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CA4"/>
    <w:pPr>
      <w:tabs>
        <w:tab w:val="clear" w:pos="3600"/>
        <w:tab w:val="clear" w:pos="3958"/>
      </w:tabs>
      <w:jc w:val="right"/>
    </w:pPr>
  </w:style>
  <w:style w:type="character" w:styleId="Emphasis">
    <w:name w:val="Emphasis"/>
    <w:basedOn w:val="DefaultParagraphFont"/>
    <w:qFormat/>
    <w:rsid w:val="00512CA4"/>
    <w:rPr>
      <w:i/>
    </w:rPr>
  </w:style>
  <w:style w:type="paragraph" w:styleId="Caption">
    <w:name w:val="caption"/>
    <w:basedOn w:val="BodyText"/>
    <w:next w:val="Normal"/>
    <w:qFormat/>
    <w:rsid w:val="00512CA4"/>
    <w:pPr>
      <w:framePr w:w="2268" w:hSpace="181" w:vSpace="181" w:wrap="around" w:vAnchor="text" w:hAnchor="page" w:x="1135" w:y="285" w:anchorLock="1"/>
    </w:pPr>
    <w:rPr>
      <w:i/>
    </w:rPr>
  </w:style>
  <w:style w:type="paragraph" w:customStyle="1" w:styleId="MiniTOCTitle">
    <w:name w:val="MiniTOCTitle"/>
    <w:basedOn w:val="Heading4"/>
    <w:rsid w:val="00512CA4"/>
    <w:pPr>
      <w:spacing w:before="240"/>
      <w:outlineLvl w:val="9"/>
    </w:pPr>
    <w:rPr>
      <w:noProof/>
      <w:sz w:val="24"/>
    </w:rPr>
  </w:style>
  <w:style w:type="paragraph" w:customStyle="1" w:styleId="MiniTOCItem">
    <w:name w:val="MiniTOCItem"/>
    <w:basedOn w:val="ListBullet"/>
    <w:rsid w:val="00512CA4"/>
    <w:pPr>
      <w:numPr>
        <w:numId w:val="0"/>
      </w:numPr>
      <w:tabs>
        <w:tab w:val="right" w:leader="dot" w:pos="6521"/>
      </w:tabs>
      <w:spacing w:before="0" w:after="0"/>
    </w:pPr>
  </w:style>
  <w:style w:type="paragraph" w:customStyle="1" w:styleId="TOFTitle">
    <w:name w:val="TOFTitle"/>
    <w:basedOn w:val="TOCTitle"/>
    <w:rsid w:val="00512CA4"/>
  </w:style>
  <w:style w:type="paragraph" w:styleId="TableofFigures">
    <w:name w:val="table of figures"/>
    <w:basedOn w:val="Normal"/>
    <w:next w:val="Normal"/>
    <w:semiHidden/>
    <w:rsid w:val="00512CA4"/>
    <w:pPr>
      <w:tabs>
        <w:tab w:val="right" w:leader="dot" w:pos="9072"/>
      </w:tabs>
      <w:ind w:left="970" w:hanging="403"/>
    </w:pPr>
    <w:rPr>
      <w:rFonts w:ascii="Times New Roman" w:hAnsi="Times New Roman"/>
      <w:b/>
    </w:rPr>
  </w:style>
  <w:style w:type="paragraph" w:styleId="ListNumber">
    <w:name w:val="List Number"/>
    <w:basedOn w:val="List"/>
    <w:rsid w:val="00512CA4"/>
    <w:pPr>
      <w:numPr>
        <w:numId w:val="15"/>
      </w:numPr>
      <w:tabs>
        <w:tab w:val="clear" w:pos="340"/>
      </w:tabs>
    </w:pPr>
  </w:style>
  <w:style w:type="character" w:customStyle="1" w:styleId="WingdingSymbols">
    <w:name w:val="Wingding Symbols"/>
    <w:rsid w:val="00512CA4"/>
    <w:rPr>
      <w:rFonts w:ascii="Wingdings" w:hAnsi="Wingdings"/>
    </w:rPr>
  </w:style>
  <w:style w:type="paragraph" w:customStyle="1" w:styleId="TableHeading">
    <w:name w:val="Table Heading"/>
    <w:basedOn w:val="HeadingBase"/>
    <w:rsid w:val="00512CA4"/>
    <w:pPr>
      <w:keepLines/>
      <w:pBdr>
        <w:bottom w:val="single" w:sz="6" w:space="1" w:color="918585"/>
      </w:pBdr>
      <w:spacing w:before="240"/>
    </w:pPr>
  </w:style>
  <w:style w:type="character" w:customStyle="1" w:styleId="HotSpot">
    <w:name w:val="HotSpot"/>
    <w:rsid w:val="00512CA4"/>
    <w:rPr>
      <w:color w:val="0033CC"/>
      <w:u w:val="none"/>
    </w:rPr>
  </w:style>
  <w:style w:type="paragraph" w:customStyle="1" w:styleId="BodyTextRight">
    <w:name w:val="Body Text Right"/>
    <w:basedOn w:val="BodyText"/>
    <w:rsid w:val="00512CA4"/>
    <w:pPr>
      <w:spacing w:before="0" w:after="0"/>
      <w:jc w:val="right"/>
    </w:pPr>
  </w:style>
  <w:style w:type="paragraph" w:styleId="Index3">
    <w:name w:val="index 3"/>
    <w:basedOn w:val="ListNumber2"/>
    <w:next w:val="Normal"/>
    <w:semiHidden/>
    <w:rsid w:val="00512CA4"/>
    <w:pPr>
      <w:numPr>
        <w:numId w:val="0"/>
      </w:numPr>
      <w:tabs>
        <w:tab w:val="right" w:leader="dot" w:pos="4176"/>
      </w:tabs>
    </w:pPr>
  </w:style>
  <w:style w:type="paragraph" w:styleId="ListNumber2">
    <w:name w:val="List Number 2"/>
    <w:basedOn w:val="List2"/>
    <w:rsid w:val="00512CA4"/>
    <w:pPr>
      <w:numPr>
        <w:numId w:val="10"/>
      </w:numPr>
      <w:tabs>
        <w:tab w:val="clear" w:pos="1060"/>
      </w:tabs>
    </w:pPr>
  </w:style>
  <w:style w:type="paragraph" w:customStyle="1" w:styleId="MarginNote">
    <w:name w:val="Margin Note"/>
    <w:basedOn w:val="BodyText"/>
    <w:rsid w:val="00512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CA4"/>
    <w:rPr>
      <w:sz w:val="32"/>
    </w:rPr>
  </w:style>
  <w:style w:type="paragraph" w:customStyle="1" w:styleId="HeadingProcedure">
    <w:name w:val="Heading Procedure"/>
    <w:basedOn w:val="HeadingBase"/>
    <w:next w:val="Normal"/>
    <w:rsid w:val="00512CA4"/>
    <w:pPr>
      <w:tabs>
        <w:tab w:val="left" w:pos="0"/>
      </w:tabs>
      <w:spacing w:before="120" w:after="60"/>
    </w:pPr>
    <w:rPr>
      <w:i/>
      <w:color w:val="918585"/>
      <w:sz w:val="22"/>
    </w:rPr>
  </w:style>
  <w:style w:type="paragraph" w:customStyle="1" w:styleId="TableBodyText">
    <w:name w:val="Table Body Text"/>
    <w:basedOn w:val="BodyText"/>
    <w:rsid w:val="00512CA4"/>
    <w:pPr>
      <w:spacing w:before="60" w:after="60"/>
    </w:pPr>
  </w:style>
  <w:style w:type="paragraph" w:styleId="ListContinue">
    <w:name w:val="List Continue"/>
    <w:basedOn w:val="List"/>
    <w:rsid w:val="00512CA4"/>
    <w:pPr>
      <w:ind w:firstLine="0"/>
    </w:pPr>
  </w:style>
  <w:style w:type="paragraph" w:customStyle="1" w:styleId="ListNote">
    <w:name w:val="List Note"/>
    <w:basedOn w:val="List"/>
    <w:rsid w:val="00512CA4"/>
    <w:pPr>
      <w:pBdr>
        <w:top w:val="single" w:sz="6" w:space="2" w:color="918585"/>
        <w:bottom w:val="single" w:sz="6" w:space="2" w:color="918585"/>
      </w:pBdr>
      <w:tabs>
        <w:tab w:val="left" w:pos="1021"/>
      </w:tabs>
      <w:ind w:firstLine="0"/>
    </w:pPr>
  </w:style>
  <w:style w:type="paragraph" w:customStyle="1" w:styleId="Warning">
    <w:name w:val="Warning"/>
    <w:basedOn w:val="BodyText"/>
    <w:rsid w:val="00512CA4"/>
    <w:pPr>
      <w:shd w:val="clear" w:color="auto" w:fill="D9D9D9"/>
      <w:tabs>
        <w:tab w:val="left" w:pos="992"/>
      </w:tabs>
      <w:ind w:left="119" w:right="119"/>
    </w:pPr>
    <w:rPr>
      <w:sz w:val="20"/>
    </w:rPr>
  </w:style>
  <w:style w:type="paragraph" w:customStyle="1" w:styleId="MarginIcons">
    <w:name w:val="Margin Icons"/>
    <w:basedOn w:val="BodyText"/>
    <w:rsid w:val="00512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CA4"/>
    <w:rPr>
      <w:rFonts w:ascii="Courier New" w:hAnsi="Courier New"/>
    </w:rPr>
  </w:style>
  <w:style w:type="paragraph" w:customStyle="1" w:styleId="NoteBullet">
    <w:name w:val="Note Bullet"/>
    <w:basedOn w:val="Note"/>
    <w:rsid w:val="00512CA4"/>
    <w:pPr>
      <w:tabs>
        <w:tab w:val="clear" w:pos="680"/>
      </w:tabs>
      <w:spacing w:before="60" w:after="60"/>
    </w:pPr>
  </w:style>
  <w:style w:type="paragraph" w:customStyle="1" w:styleId="SubHeading2">
    <w:name w:val="SubHeading2"/>
    <w:basedOn w:val="HeadingBase"/>
    <w:rsid w:val="00512CA4"/>
    <w:pPr>
      <w:spacing w:before="240" w:after="60"/>
    </w:pPr>
    <w:rPr>
      <w:sz w:val="20"/>
    </w:rPr>
  </w:style>
  <w:style w:type="paragraph" w:customStyle="1" w:styleId="SubHeading1">
    <w:name w:val="SubHeading1"/>
    <w:basedOn w:val="HeadingBase"/>
    <w:rsid w:val="00512CA4"/>
    <w:pPr>
      <w:spacing w:before="240" w:after="60"/>
    </w:pPr>
    <w:rPr>
      <w:color w:val="918585"/>
      <w:sz w:val="22"/>
    </w:rPr>
  </w:style>
  <w:style w:type="paragraph" w:customStyle="1" w:styleId="SideHeading">
    <w:name w:val="Side Heading"/>
    <w:basedOn w:val="HeadingBase"/>
    <w:rsid w:val="00512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CA4"/>
    <w:pPr>
      <w:tabs>
        <w:tab w:val="num" w:pos="360"/>
      </w:tabs>
    </w:pPr>
  </w:style>
  <w:style w:type="paragraph" w:styleId="PlainText">
    <w:name w:val="Plain Text"/>
    <w:basedOn w:val="Normal"/>
    <w:link w:val="PlainTextChar"/>
    <w:rsid w:val="00512CA4"/>
    <w:rPr>
      <w:sz w:val="20"/>
    </w:rPr>
  </w:style>
  <w:style w:type="character" w:customStyle="1" w:styleId="PlainTextChar">
    <w:name w:val="Plain Text Char"/>
    <w:basedOn w:val="DefaultParagraphFont"/>
    <w:link w:val="PlainText"/>
    <w:rsid w:val="00512CA4"/>
    <w:rPr>
      <w:rFonts w:ascii="Courier New" w:eastAsia="Times New Roman" w:hAnsi="Courier New" w:cs="Times New Roman"/>
      <w:sz w:val="20"/>
      <w:szCs w:val="20"/>
      <w:lang w:eastAsia="en-US"/>
    </w:rPr>
  </w:style>
  <w:style w:type="character" w:customStyle="1" w:styleId="MenuOption">
    <w:name w:val="Menu Option"/>
    <w:basedOn w:val="DefaultParagraphFont"/>
    <w:rsid w:val="00512CA4"/>
    <w:rPr>
      <w:b/>
      <w:smallCaps/>
    </w:rPr>
  </w:style>
  <w:style w:type="paragraph" w:customStyle="1" w:styleId="TableListNumber">
    <w:name w:val="Table List Number"/>
    <w:basedOn w:val="ListNumber"/>
    <w:rsid w:val="00512CA4"/>
    <w:pPr>
      <w:numPr>
        <w:numId w:val="0"/>
      </w:numPr>
    </w:pPr>
  </w:style>
  <w:style w:type="paragraph" w:styleId="TOC4">
    <w:name w:val="toc 4"/>
    <w:basedOn w:val="TOCBase"/>
    <w:next w:val="Normal"/>
    <w:semiHidden/>
    <w:rsid w:val="00512CA4"/>
    <w:pPr>
      <w:tabs>
        <w:tab w:val="right" w:leader="dot" w:pos="9071"/>
      </w:tabs>
      <w:ind w:left="1701"/>
    </w:pPr>
  </w:style>
  <w:style w:type="paragraph" w:customStyle="1" w:styleId="ListAlpha">
    <w:name w:val="List Alpha"/>
    <w:basedOn w:val="List"/>
    <w:rsid w:val="00512CA4"/>
    <w:pPr>
      <w:numPr>
        <w:numId w:val="9"/>
      </w:numPr>
    </w:pPr>
  </w:style>
  <w:style w:type="paragraph" w:customStyle="1" w:styleId="ListAlpha2">
    <w:name w:val="List Alpha 2"/>
    <w:basedOn w:val="List2"/>
    <w:rsid w:val="00512CA4"/>
    <w:pPr>
      <w:numPr>
        <w:numId w:val="8"/>
      </w:numPr>
    </w:pPr>
  </w:style>
  <w:style w:type="paragraph" w:styleId="List2">
    <w:name w:val="List 2"/>
    <w:basedOn w:val="BodyText"/>
    <w:rsid w:val="00512CA4"/>
    <w:pPr>
      <w:tabs>
        <w:tab w:val="left" w:pos="680"/>
      </w:tabs>
      <w:spacing w:before="60" w:after="60"/>
      <w:ind w:left="680" w:hanging="340"/>
    </w:pPr>
  </w:style>
  <w:style w:type="paragraph" w:styleId="List3">
    <w:name w:val="List 3"/>
    <w:basedOn w:val="BodyText"/>
    <w:rsid w:val="00512CA4"/>
    <w:pPr>
      <w:tabs>
        <w:tab w:val="left" w:pos="1021"/>
      </w:tabs>
      <w:spacing w:before="60" w:after="60"/>
      <w:ind w:left="1020" w:hanging="340"/>
    </w:pPr>
  </w:style>
  <w:style w:type="paragraph" w:styleId="List4">
    <w:name w:val="List 4"/>
    <w:basedOn w:val="BodyText"/>
    <w:rsid w:val="00512CA4"/>
    <w:pPr>
      <w:tabs>
        <w:tab w:val="left" w:pos="1361"/>
      </w:tabs>
      <w:spacing w:before="60" w:after="60"/>
      <w:ind w:left="1361" w:hanging="340"/>
    </w:pPr>
  </w:style>
  <w:style w:type="paragraph" w:styleId="List5">
    <w:name w:val="List 5"/>
    <w:basedOn w:val="BodyText"/>
    <w:rsid w:val="00512CA4"/>
    <w:pPr>
      <w:tabs>
        <w:tab w:val="left" w:pos="1701"/>
      </w:tabs>
      <w:spacing w:before="60" w:after="60"/>
      <w:ind w:left="1701" w:hanging="340"/>
    </w:pPr>
  </w:style>
  <w:style w:type="paragraph" w:styleId="ListBullet3">
    <w:name w:val="List Bullet 3"/>
    <w:basedOn w:val="List3"/>
    <w:rsid w:val="00512CA4"/>
    <w:pPr>
      <w:numPr>
        <w:numId w:val="14"/>
      </w:numPr>
      <w:tabs>
        <w:tab w:val="clear" w:pos="1021"/>
      </w:tabs>
      <w:ind w:left="1037" w:hanging="357"/>
    </w:pPr>
  </w:style>
  <w:style w:type="paragraph" w:styleId="ListBullet4">
    <w:name w:val="List Bullet 4"/>
    <w:basedOn w:val="List4"/>
    <w:rsid w:val="00512CA4"/>
    <w:pPr>
      <w:numPr>
        <w:numId w:val="3"/>
      </w:numPr>
      <w:tabs>
        <w:tab w:val="clear" w:pos="1361"/>
      </w:tabs>
    </w:pPr>
  </w:style>
  <w:style w:type="paragraph" w:styleId="ListBullet5">
    <w:name w:val="List Bullet 5"/>
    <w:basedOn w:val="List5"/>
    <w:rsid w:val="00512CA4"/>
    <w:pPr>
      <w:numPr>
        <w:numId w:val="4"/>
      </w:numPr>
    </w:pPr>
  </w:style>
  <w:style w:type="paragraph" w:styleId="ListContinue2">
    <w:name w:val="List Continue 2"/>
    <w:basedOn w:val="List2"/>
    <w:rsid w:val="00512CA4"/>
    <w:pPr>
      <w:ind w:firstLine="0"/>
    </w:pPr>
  </w:style>
  <w:style w:type="paragraph" w:styleId="ListContinue3">
    <w:name w:val="List Continue 3"/>
    <w:basedOn w:val="List3"/>
    <w:rsid w:val="00512CA4"/>
    <w:pPr>
      <w:ind w:left="1021" w:firstLine="0"/>
    </w:pPr>
  </w:style>
  <w:style w:type="paragraph" w:styleId="ListContinue4">
    <w:name w:val="List Continue 4"/>
    <w:basedOn w:val="List4"/>
    <w:rsid w:val="00512CA4"/>
    <w:pPr>
      <w:ind w:firstLine="0"/>
    </w:pPr>
  </w:style>
  <w:style w:type="paragraph" w:styleId="ListContinue5">
    <w:name w:val="List Continue 5"/>
    <w:basedOn w:val="List5"/>
    <w:rsid w:val="00512CA4"/>
    <w:pPr>
      <w:ind w:firstLine="0"/>
    </w:pPr>
  </w:style>
  <w:style w:type="paragraph" w:styleId="ListNumber3">
    <w:name w:val="List Number 3"/>
    <w:basedOn w:val="List3"/>
    <w:rsid w:val="00512CA4"/>
    <w:pPr>
      <w:numPr>
        <w:numId w:val="5"/>
      </w:numPr>
    </w:pPr>
  </w:style>
  <w:style w:type="paragraph" w:styleId="ListNumber4">
    <w:name w:val="List Number 4"/>
    <w:basedOn w:val="List4"/>
    <w:rsid w:val="00512CA4"/>
    <w:pPr>
      <w:numPr>
        <w:numId w:val="6"/>
      </w:numPr>
    </w:pPr>
  </w:style>
  <w:style w:type="paragraph" w:styleId="ListNumber5">
    <w:name w:val="List Number 5"/>
    <w:basedOn w:val="List5"/>
    <w:rsid w:val="00512CA4"/>
    <w:pPr>
      <w:numPr>
        <w:numId w:val="7"/>
      </w:numPr>
    </w:pPr>
  </w:style>
  <w:style w:type="paragraph" w:styleId="BlockText">
    <w:name w:val="Block Text"/>
    <w:basedOn w:val="Normal"/>
    <w:rsid w:val="00512CA4"/>
    <w:pPr>
      <w:spacing w:after="120"/>
      <w:ind w:left="1440" w:right="1440"/>
    </w:pPr>
  </w:style>
  <w:style w:type="character" w:customStyle="1" w:styleId="Subscript">
    <w:name w:val="Subscript"/>
    <w:basedOn w:val="DefaultParagraphFont"/>
    <w:rsid w:val="00512CA4"/>
    <w:rPr>
      <w:sz w:val="16"/>
      <w:vertAlign w:val="subscript"/>
    </w:rPr>
  </w:style>
  <w:style w:type="character" w:customStyle="1" w:styleId="Superscript">
    <w:name w:val="Superscript"/>
    <w:basedOn w:val="DefaultParagraphFont"/>
    <w:rsid w:val="00512CA4"/>
    <w:rPr>
      <w:sz w:val="16"/>
      <w:vertAlign w:val="superscript"/>
    </w:rPr>
  </w:style>
  <w:style w:type="character" w:customStyle="1" w:styleId="Symbols">
    <w:name w:val="Symbols"/>
    <w:basedOn w:val="DefaultParagraphFont"/>
    <w:rsid w:val="00512CA4"/>
    <w:rPr>
      <w:rFonts w:ascii="Symbol" w:hAnsi="Symbol"/>
    </w:rPr>
  </w:style>
  <w:style w:type="character" w:customStyle="1" w:styleId="MenuOptions">
    <w:name w:val="Menu Options"/>
    <w:basedOn w:val="DefaultParagraphFont"/>
    <w:rsid w:val="00512CA4"/>
    <w:rPr>
      <w:rFonts w:ascii="Arial Narrow" w:hAnsi="Arial Narrow"/>
      <w:smallCaps/>
    </w:rPr>
  </w:style>
  <w:style w:type="character" w:customStyle="1" w:styleId="Buttons">
    <w:name w:val="Buttons"/>
    <w:basedOn w:val="DefaultParagraphFont"/>
    <w:rsid w:val="00512CA4"/>
    <w:rPr>
      <w:b/>
    </w:rPr>
  </w:style>
  <w:style w:type="character" w:customStyle="1" w:styleId="Underlined">
    <w:name w:val="Underlined"/>
    <w:basedOn w:val="DefaultParagraphFont"/>
    <w:rsid w:val="00512CA4"/>
    <w:rPr>
      <w:u w:val="single"/>
    </w:rPr>
  </w:style>
  <w:style w:type="paragraph" w:customStyle="1" w:styleId="TableBodyTextRight">
    <w:name w:val="Table Body Text Right"/>
    <w:basedOn w:val="TableBodyText"/>
    <w:rsid w:val="00512CA4"/>
    <w:pPr>
      <w:widowControl w:val="0"/>
      <w:autoSpaceDE w:val="0"/>
      <w:autoSpaceDN w:val="0"/>
      <w:adjustRightInd w:val="0"/>
      <w:jc w:val="right"/>
    </w:pPr>
    <w:rPr>
      <w:rFonts w:cs="Arial"/>
      <w:szCs w:val="18"/>
    </w:rPr>
  </w:style>
  <w:style w:type="paragraph" w:customStyle="1" w:styleId="CopyrightText">
    <w:name w:val="Copyright Text"/>
    <w:basedOn w:val="BodyText"/>
    <w:rsid w:val="00512CA4"/>
    <w:rPr>
      <w:sz w:val="18"/>
    </w:rPr>
  </w:style>
  <w:style w:type="paragraph" w:customStyle="1" w:styleId="BodySmallRight">
    <w:name w:val="Body Small Right"/>
    <w:basedOn w:val="BodyTextRight"/>
    <w:rsid w:val="00512CA4"/>
    <w:rPr>
      <w:sz w:val="18"/>
      <w:szCs w:val="18"/>
    </w:rPr>
  </w:style>
  <w:style w:type="paragraph" w:customStyle="1" w:styleId="MarginEdition">
    <w:name w:val="Margin Edition"/>
    <w:basedOn w:val="MarginNote"/>
    <w:rsid w:val="00512CA4"/>
    <w:pPr>
      <w:spacing w:before="0" w:after="0"/>
    </w:pPr>
    <w:rPr>
      <w:rFonts w:ascii="Times New Roman" w:hAnsi="Times New Roman"/>
      <w:color w:val="999999"/>
    </w:rPr>
  </w:style>
  <w:style w:type="paragraph" w:customStyle="1" w:styleId="Spacer">
    <w:name w:val="Spacer"/>
    <w:basedOn w:val="Normal"/>
    <w:rsid w:val="00512CA4"/>
    <w:rPr>
      <w:sz w:val="2"/>
      <w:szCs w:val="2"/>
    </w:rPr>
  </w:style>
  <w:style w:type="character" w:customStyle="1" w:styleId="Small">
    <w:name w:val="Small"/>
    <w:basedOn w:val="DefaultParagraphFont"/>
    <w:rsid w:val="00512CA4"/>
    <w:rPr>
      <w:sz w:val="16"/>
    </w:rPr>
  </w:style>
  <w:style w:type="paragraph" w:customStyle="1" w:styleId="WideTable">
    <w:name w:val="Wide Table"/>
    <w:basedOn w:val="Normal"/>
    <w:rsid w:val="00512CA4"/>
    <w:pPr>
      <w:ind w:left="-1418"/>
    </w:pPr>
    <w:rPr>
      <w:sz w:val="2"/>
      <w:szCs w:val="2"/>
    </w:rPr>
  </w:style>
  <w:style w:type="character" w:styleId="PageNumber">
    <w:name w:val="page number"/>
    <w:basedOn w:val="DefaultParagraphFont"/>
    <w:rsid w:val="00512CA4"/>
  </w:style>
  <w:style w:type="paragraph" w:styleId="Quote">
    <w:name w:val="Quote"/>
    <w:basedOn w:val="Heading1"/>
    <w:link w:val="QuoteChar"/>
    <w:qFormat/>
    <w:rsid w:val="00512CA4"/>
    <w:rPr>
      <w:b w:val="0"/>
      <w:sz w:val="72"/>
      <w:szCs w:val="72"/>
      <w:lang w:val="en-NZ"/>
    </w:rPr>
  </w:style>
  <w:style w:type="character" w:customStyle="1" w:styleId="QuoteChar">
    <w:name w:val="Quote Char"/>
    <w:basedOn w:val="DefaultParagraphFont"/>
    <w:link w:val="Quote"/>
    <w:rsid w:val="00512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CA4"/>
    <w:pPr>
      <w:pageBreakBefore/>
    </w:pPr>
  </w:style>
  <w:style w:type="paragraph" w:customStyle="1" w:styleId="Border">
    <w:name w:val="Border"/>
    <w:basedOn w:val="Normal"/>
    <w:qFormat/>
    <w:rsid w:val="00512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CA4"/>
    <w:rPr>
      <w:b/>
      <w:bCs/>
      <w:i/>
      <w:iCs/>
      <w:color w:val="auto"/>
    </w:rPr>
  </w:style>
  <w:style w:type="paragraph" w:styleId="IntenseQuote">
    <w:name w:val="Intense Quote"/>
    <w:basedOn w:val="Normal"/>
    <w:next w:val="Normal"/>
    <w:link w:val="IntenseQuoteChar"/>
    <w:uiPriority w:val="30"/>
    <w:qFormat/>
    <w:rsid w:val="00512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CA4"/>
    <w:rPr>
      <w:smallCaps/>
      <w:color w:val="auto"/>
      <w:u w:val="single"/>
    </w:rPr>
  </w:style>
  <w:style w:type="character" w:styleId="IntenseReference">
    <w:name w:val="Intense Reference"/>
    <w:basedOn w:val="DefaultParagraphFont"/>
    <w:uiPriority w:val="32"/>
    <w:qFormat/>
    <w:rsid w:val="00512CA4"/>
    <w:rPr>
      <w:b/>
      <w:bCs/>
      <w:smallCaps/>
      <w:color w:val="auto"/>
      <w:spacing w:val="5"/>
      <w:u w:val="single"/>
    </w:rPr>
  </w:style>
  <w:style w:type="paragraph" w:customStyle="1" w:styleId="2ColumnHeading">
    <w:name w:val="2Column Heading"/>
    <w:basedOn w:val="BodyText"/>
    <w:qFormat/>
    <w:rsid w:val="00512CA4"/>
    <w:pPr>
      <w:spacing w:after="60"/>
      <w:ind w:left="-2268"/>
    </w:pPr>
    <w:rPr>
      <w:b/>
    </w:rPr>
  </w:style>
  <w:style w:type="paragraph" w:customStyle="1" w:styleId="Heading1TOC">
    <w:name w:val="Heading1 TOC"/>
    <w:basedOn w:val="Normal"/>
    <w:qFormat/>
    <w:rsid w:val="00512CA4"/>
    <w:pPr>
      <w:spacing w:before="240" w:after="120"/>
    </w:pPr>
    <w:rPr>
      <w:rFonts w:ascii="Times New Roman" w:hAnsi="Times New Roman"/>
      <w:b/>
      <w:sz w:val="32"/>
    </w:rPr>
  </w:style>
  <w:style w:type="paragraph" w:customStyle="1" w:styleId="Heading2TOC">
    <w:name w:val="Heading2 TOC"/>
    <w:basedOn w:val="Normal"/>
    <w:qFormat/>
    <w:rsid w:val="00512CA4"/>
    <w:pPr>
      <w:spacing w:before="240" w:after="60"/>
    </w:pPr>
    <w:rPr>
      <w:rFonts w:ascii="Times New Roman" w:hAnsi="Times New Roman"/>
      <w:b/>
      <w:sz w:val="28"/>
    </w:rPr>
  </w:style>
  <w:style w:type="character" w:customStyle="1" w:styleId="Underline">
    <w:name w:val="Underline"/>
    <w:basedOn w:val="DefaultParagraphFont"/>
    <w:qFormat/>
    <w:rsid w:val="00512CA4"/>
    <w:rPr>
      <w:u w:val="single"/>
    </w:rPr>
  </w:style>
  <w:style w:type="character" w:customStyle="1" w:styleId="BoldandItalics">
    <w:name w:val="Bold and Italics"/>
    <w:qFormat/>
    <w:rsid w:val="00512CA4"/>
    <w:rPr>
      <w:b/>
      <w:i/>
      <w:u w:val="none"/>
    </w:rPr>
  </w:style>
  <w:style w:type="paragraph" w:styleId="BalloonText">
    <w:name w:val="Balloon Text"/>
    <w:basedOn w:val="Normal"/>
    <w:link w:val="BalloonTextChar"/>
    <w:rsid w:val="00512CA4"/>
    <w:rPr>
      <w:rFonts w:ascii="Tahoma" w:hAnsi="Tahoma" w:cs="Tahoma"/>
      <w:sz w:val="16"/>
      <w:szCs w:val="16"/>
    </w:rPr>
  </w:style>
  <w:style w:type="character" w:customStyle="1" w:styleId="BalloonTextChar">
    <w:name w:val="Balloon Text Char"/>
    <w:basedOn w:val="DefaultParagraphFont"/>
    <w:link w:val="BalloonText"/>
    <w:rsid w:val="00512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CA4"/>
    <w:rPr>
      <w:b/>
      <w:color w:val="660033"/>
      <w:spacing w:val="0"/>
    </w:rPr>
  </w:style>
  <w:style w:type="paragraph" w:customStyle="1" w:styleId="Nameditemlist">
    <w:name w:val="Named item list"/>
    <w:basedOn w:val="BodyText"/>
    <w:qFormat/>
    <w:rsid w:val="00512CA4"/>
    <w:pPr>
      <w:tabs>
        <w:tab w:val="left" w:pos="2835"/>
      </w:tabs>
      <w:ind w:left="2835" w:hanging="2835"/>
    </w:pPr>
  </w:style>
  <w:style w:type="paragraph" w:customStyle="1" w:styleId="BodyTextnopadding">
    <w:name w:val="Body Text no padding"/>
    <w:basedOn w:val="BodyText"/>
    <w:qFormat/>
    <w:rsid w:val="00512CA4"/>
    <w:pPr>
      <w:spacing w:before="0" w:after="0"/>
    </w:pPr>
  </w:style>
  <w:style w:type="paragraph" w:customStyle="1" w:styleId="BodyTextBold">
    <w:name w:val="Body Text Bold"/>
    <w:basedOn w:val="BodyText"/>
    <w:qFormat/>
    <w:rsid w:val="00512CA4"/>
    <w:rPr>
      <w:b/>
    </w:rPr>
  </w:style>
  <w:style w:type="character" w:styleId="Hyperlink">
    <w:name w:val="Hyperlink"/>
    <w:basedOn w:val="DefaultParagraphFont"/>
    <w:uiPriority w:val="99"/>
    <w:unhideWhenUsed/>
    <w:rsid w:val="001B4F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1765</Words>
  <Characters>11462</Characters>
  <Application>Microsoft Office Word</Application>
  <DocSecurity>0</DocSecurity>
  <Lines>382</Lines>
  <Paragraphs>178</Paragraphs>
  <ScaleCrop>false</ScaleCrop>
  <Company>Author-it Software Corporation Ltd.</Company>
  <LinksUpToDate>false</LinksUpToDate>
  <CharactersWithSpaces>13049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UETTDREL19 Identify and interpret characteristics of electrical apparatus associated with power industry assets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