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D92" w:rsidP="006E2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UETTDREL19 Identify and interpret characteristics of electrical apparatus associated with power industry assets</w:t>
      </w:r>
      <w:r>
        <w:fldChar w:fldCharType="end"/>
      </w:r>
    </w:p>
    <w:p w:rsidR="006E2D92" w:rsidP="006E2D92">
      <w:pPr>
        <w:pStyle w:val="Version"/>
        <w:sectPr w:rsidSect="008A7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4FF" w:rsidP="008A74FF">
      <w:pPr>
        <w:pStyle w:val="SuperHeading"/>
      </w:pPr>
      <w:r w:rsidRPr="008A74FF">
        <w:t>Assessment Requirements for UETTDREL19 Identify and interpret characteristics of electrical apparatus associated with power industry assets</w:t>
      </w:r>
    </w:p>
    <w:p w:rsidR="00000000" w:rsidRPr="008A74FF" w:rsidP="008A74FF">
      <w:pPr>
        <w:pStyle w:val="Heading1"/>
      </w:pPr>
      <w:bookmarkStart w:id="1" w:name="O_1003013"/>
      <w:bookmarkEnd w:id="1"/>
      <w:r w:rsidRPr="008A74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FF" w:rsidP="008A74FF">
            <w:pPr>
              <w:pStyle w:val="BodyText"/>
            </w:pPr>
            <w:r w:rsidRPr="008A74F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A74FF" w:rsidP="008A74FF">
      <w:pPr>
        <w:pStyle w:val="NoPaddingFontSize1"/>
      </w:pPr>
    </w:p>
    <w:p w:rsidR="00000000" w:rsidRPr="008A74FF" w:rsidP="008A74FF">
      <w:pPr>
        <w:pStyle w:val="AllowPageBreak"/>
      </w:pPr>
    </w:p>
    <w:p w:rsidR="00000000" w:rsidRPr="008A74FF" w:rsidP="008A74FF">
      <w:pPr>
        <w:pStyle w:val="Heading1"/>
      </w:pPr>
      <w:bookmarkStart w:id="2" w:name="O_1003014"/>
      <w:bookmarkEnd w:id="2"/>
      <w:r w:rsidRPr="008A74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FF">
            <w:pPr>
              <w:pStyle w:val="BodyText"/>
              <w:rPr>
                <w:lang w:val="en-NZ"/>
              </w:rPr>
            </w:pPr>
            <w:r w:rsidRPr="008A74FF">
              <w:t>Evidence required to demonstrate competence in this unit must be relevant to a</w:t>
            </w:r>
            <w:r w:rsidRPr="008A74FF">
              <w:t xml:space="preserve">nd satisfy all of the requirements of the elements and performance criteria on at least two separate occasions and include:  </w:t>
            </w:r>
          </w:p>
        </w:tc>
      </w:tr>
      <w:tr w:rsidTr="008A7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FF" w:rsidP="008A74FF">
            <w:pPr>
              <w:pStyle w:val="ListBullet"/>
            </w:pPr>
            <w:r w:rsidRPr="008A74FF">
              <w:t>applying relevant work health and safety (WHS)/occupational health and safety (OHS) requirements, including the use of risk cont</w:t>
            </w:r>
            <w:r w:rsidRPr="008A74FF">
              <w:t>rol measures</w:t>
            </w:r>
          </w:p>
          <w:p w:rsidR="00000000" w:rsidRPr="008A74FF" w:rsidP="008A74FF">
            <w:pPr>
              <w:pStyle w:val="ListBullet"/>
            </w:pPr>
            <w:r w:rsidRPr="008A74FF">
              <w:t>applying sustainable energy principles and practices</w:t>
            </w:r>
          </w:p>
          <w:p w:rsidR="00000000" w:rsidRPr="008A74FF" w:rsidP="008A74FF">
            <w:pPr>
              <w:pStyle w:val="ListBullet"/>
            </w:pPr>
            <w:r w:rsidRPr="008A74FF">
              <w:t>confirming operational knowledge associated with the characteristics of electrical apparatus in eight (8) of the following:</w:t>
            </w:r>
          </w:p>
          <w:p w:rsidR="00000000" w:rsidRPr="008A74FF" w:rsidP="008A74FF">
            <w:pPr>
              <w:pStyle w:val="ListBullet2"/>
            </w:pPr>
            <w:r w:rsidRPr="008A74FF">
              <w:t>single wire earth return (SWER)</w:t>
            </w:r>
          </w:p>
          <w:p w:rsidR="00000000" w:rsidRPr="008A74FF" w:rsidP="008A74FF">
            <w:pPr>
              <w:pStyle w:val="ListBullet2"/>
            </w:pPr>
            <w:r w:rsidRPr="008A74FF">
              <w:t>high voltage (HV) overhead conductors and cables</w:t>
            </w:r>
          </w:p>
          <w:p w:rsidR="00000000" w:rsidRPr="008A74FF" w:rsidP="008A74FF">
            <w:pPr>
              <w:pStyle w:val="ListBullet2"/>
            </w:pPr>
            <w:r w:rsidRPr="008A74FF">
              <w:t>low voltage (LV) overhead conductors and cables</w:t>
            </w:r>
          </w:p>
          <w:p w:rsidR="00000000" w:rsidRPr="008A74FF" w:rsidP="008A74FF">
            <w:pPr>
              <w:pStyle w:val="ListBullet2"/>
            </w:pPr>
            <w:r w:rsidRPr="008A74FF">
              <w:t>underground cables (as attached to the poles)</w:t>
            </w:r>
          </w:p>
          <w:p w:rsidR="00000000" w:rsidRPr="008A74FF" w:rsidP="008A74FF">
            <w:pPr>
              <w:pStyle w:val="ListBullet2"/>
            </w:pPr>
            <w:r w:rsidRPr="008A74FF">
              <w:t>overhead transition points and termination hardware</w:t>
            </w:r>
          </w:p>
          <w:p w:rsidR="00000000" w:rsidRPr="008A74FF" w:rsidP="008A74FF">
            <w:pPr>
              <w:pStyle w:val="ListBullet2"/>
            </w:pPr>
            <w:r w:rsidRPr="008A74FF">
              <w:t>vibration mitigation hardware</w:t>
            </w:r>
          </w:p>
          <w:p w:rsidR="00000000" w:rsidRPr="008A74FF" w:rsidP="008A74FF">
            <w:pPr>
              <w:pStyle w:val="ListBullet2"/>
            </w:pPr>
            <w:r w:rsidRPr="008A74FF">
              <w:t>insulators, cross-arms, cross-a</w:t>
            </w:r>
            <w:r w:rsidRPr="008A74FF">
              <w:t>rm mountings and brackets</w:t>
            </w:r>
          </w:p>
          <w:p w:rsidR="00000000" w:rsidRPr="008A74FF" w:rsidP="008A74FF">
            <w:pPr>
              <w:pStyle w:val="ListBullet2"/>
            </w:pPr>
            <w:r w:rsidRPr="008A74FF">
              <w:t>switches, HV fuses and fuse carriers, surge diverters and auto-reclose devices</w:t>
            </w:r>
          </w:p>
          <w:p w:rsidR="00000000" w:rsidRPr="008A74FF" w:rsidP="008A74FF">
            <w:pPr>
              <w:pStyle w:val="ListBullet2"/>
            </w:pPr>
            <w:r w:rsidRPr="008A74FF">
              <w:t>pole mounted transformers and substations</w:t>
            </w:r>
          </w:p>
          <w:p w:rsidR="00000000" w:rsidRPr="008A74FF" w:rsidP="008A74FF">
            <w:pPr>
              <w:pStyle w:val="ListBullet2"/>
            </w:pPr>
            <w:r w:rsidRPr="008A74FF">
              <w:t>possum guards and earth guards</w:t>
            </w:r>
          </w:p>
          <w:p w:rsidR="00000000" w:rsidRPr="008A74FF" w:rsidP="008A74FF">
            <w:pPr>
              <w:pStyle w:val="ListBullet2"/>
            </w:pPr>
            <w:r w:rsidRPr="008A74FF">
              <w:t>angle of the pole</w:t>
            </w:r>
          </w:p>
          <w:p w:rsidR="00000000" w:rsidRPr="008A74FF" w:rsidP="008A74FF">
            <w:pPr>
              <w:pStyle w:val="ListBullet2"/>
            </w:pPr>
            <w:r w:rsidRPr="008A74FF">
              <w:t>height of conductors</w:t>
            </w:r>
          </w:p>
          <w:p w:rsidR="00000000" w:rsidRPr="008A74FF" w:rsidP="008A74FF">
            <w:pPr>
              <w:pStyle w:val="ListBullet2"/>
            </w:pPr>
            <w:r w:rsidRPr="008A74FF">
              <w:t>public lights, bolts and associated pol</w:t>
            </w:r>
            <w:r w:rsidRPr="008A74FF">
              <w:t>e fixings</w:t>
            </w:r>
          </w:p>
          <w:p w:rsidR="00000000" w:rsidRPr="008A74FF" w:rsidP="008A74FF">
            <w:pPr>
              <w:pStyle w:val="ListBullet"/>
            </w:pPr>
            <w:r w:rsidRPr="008A74FF">
              <w:t>confirming knowledge associated with the characteristics of at least four (4) of the following:</w:t>
            </w:r>
          </w:p>
          <w:p w:rsidR="00000000" w:rsidRPr="008A74FF" w:rsidP="008A74FF">
            <w:pPr>
              <w:pStyle w:val="ListBullet2"/>
            </w:pPr>
            <w:r w:rsidRPr="008A74FF">
              <w:t>wood pole</w:t>
            </w:r>
          </w:p>
          <w:p w:rsidR="00000000" w:rsidRPr="008A74FF" w:rsidP="008A74FF">
            <w:pPr>
              <w:pStyle w:val="ListBullet2"/>
            </w:pPr>
            <w:r w:rsidRPr="008A74FF">
              <w:t>steel pole</w:t>
            </w:r>
          </w:p>
          <w:p w:rsidR="00000000" w:rsidRPr="008A74FF" w:rsidP="008A74FF">
            <w:pPr>
              <w:pStyle w:val="ListBullet2"/>
            </w:pPr>
            <w:r w:rsidRPr="008A74FF">
              <w:t>concrete pole</w:t>
            </w:r>
          </w:p>
          <w:p w:rsidR="00000000" w:rsidRPr="008A74FF" w:rsidP="008A74FF">
            <w:pPr>
              <w:pStyle w:val="ListBullet2"/>
            </w:pPr>
            <w:r w:rsidRPr="008A74FF">
              <w:t>composite pole</w:t>
            </w:r>
          </w:p>
          <w:p w:rsidR="00000000" w:rsidRPr="008A74FF" w:rsidP="008A74FF">
            <w:pPr>
              <w:pStyle w:val="ListBullet2"/>
            </w:pPr>
            <w:r w:rsidRPr="008A74FF">
              <w:t>reinforced poles</w:t>
            </w:r>
          </w:p>
          <w:p w:rsidR="00000000" w:rsidRPr="008A74FF" w:rsidP="008A74FF">
            <w:pPr>
              <w:pStyle w:val="ListBullet"/>
            </w:pPr>
            <w:r w:rsidRPr="008A74FF">
              <w:t>dealing with unplanned events on at least one (1) occasion.</w:t>
            </w:r>
          </w:p>
        </w:tc>
      </w:tr>
    </w:tbl>
    <w:p w:rsidR="00000000" w:rsidRPr="008A74FF" w:rsidP="008A74FF">
      <w:pPr>
        <w:pStyle w:val="NoPaddingFontSize1"/>
      </w:pPr>
    </w:p>
    <w:p w:rsidR="00000000" w:rsidRPr="008A74FF" w:rsidP="008A74FF">
      <w:pPr>
        <w:pStyle w:val="AllowPageBreak"/>
      </w:pPr>
    </w:p>
    <w:p w:rsidR="00000000" w:rsidRPr="008A74FF" w:rsidP="008A74FF">
      <w:pPr>
        <w:pStyle w:val="Heading1"/>
      </w:pPr>
      <w:bookmarkStart w:id="3" w:name="O_1003015"/>
      <w:bookmarkEnd w:id="3"/>
      <w:r w:rsidRPr="008A74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4FF">
            <w:pPr>
              <w:pStyle w:val="BodyText"/>
              <w:rPr>
                <w:lang w:val="en-NZ"/>
              </w:rPr>
            </w:pPr>
            <w:r w:rsidRPr="008A74F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A7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FF" w:rsidP="008A74FF">
            <w:pPr>
              <w:pStyle w:val="ListBullet"/>
            </w:pPr>
            <w:r w:rsidRPr="008A74FF">
              <w:t>electrical apparatus safety requirements encom</w:t>
            </w:r>
            <w:r w:rsidRPr="008A74FF">
              <w:t>passing:</w:t>
            </w:r>
          </w:p>
          <w:p w:rsidR="00000000" w:rsidRPr="008A74FF" w:rsidP="008A74FF">
            <w:pPr>
              <w:pStyle w:val="ListBullet2"/>
            </w:pPr>
            <w:r w:rsidRPr="008A74FF">
              <w:t>working safely with machinery and equipment near live electrical apparatus</w:t>
            </w:r>
          </w:p>
          <w:p w:rsidR="00000000" w:rsidRPr="008A74FF" w:rsidP="008A74FF">
            <w:pPr>
              <w:pStyle w:val="ListBullet2"/>
            </w:pPr>
            <w:r w:rsidRPr="008A74FF">
              <w:t>selecting and using appropriate personal protective equipment (PPE)</w:t>
            </w:r>
          </w:p>
          <w:p w:rsidR="00000000" w:rsidRPr="008A74FF" w:rsidP="008A74FF">
            <w:pPr>
              <w:pStyle w:val="ListBullet2"/>
            </w:pPr>
            <w:r w:rsidRPr="008A74FF">
              <w:t>implementing emergency procedures for the rescue of an electric shock victim</w:t>
            </w:r>
          </w:p>
          <w:p w:rsidR="00000000" w:rsidRPr="008A74FF" w:rsidP="008A74FF">
            <w:pPr>
              <w:pStyle w:val="ListBullet2"/>
            </w:pPr>
            <w:r w:rsidRPr="008A74FF">
              <w:t>providing emergency first aid for an electric shock victim</w:t>
            </w:r>
          </w:p>
          <w:p w:rsidR="00000000" w:rsidRPr="008A74FF" w:rsidP="008A74FF">
            <w:pPr>
              <w:pStyle w:val="ListBullet"/>
            </w:pPr>
            <w:r w:rsidRPr="008A74FF">
              <w:t>inspection of electrical apparatus encompassing:</w:t>
            </w:r>
          </w:p>
          <w:p w:rsidR="00000000" w:rsidRPr="008A74FF" w:rsidP="008A74FF">
            <w:pPr>
              <w:pStyle w:val="ListBullet2"/>
            </w:pPr>
            <w:r w:rsidRPr="008A74FF">
              <w:t>standards, codes, legislation, supply authority regulations and/or enterprise requirements</w:t>
            </w:r>
          </w:p>
          <w:p w:rsidR="00000000" w:rsidRPr="008A74FF" w:rsidP="008A74FF">
            <w:pPr>
              <w:pStyle w:val="ListBullet2"/>
            </w:pPr>
            <w:r w:rsidRPr="008A74FF">
              <w:t>visual checking of poles and structures</w:t>
            </w:r>
          </w:p>
          <w:p w:rsidR="00000000" w:rsidRPr="008A74FF" w:rsidP="008A74FF">
            <w:pPr>
              <w:pStyle w:val="ListBullet2"/>
            </w:pPr>
            <w:r w:rsidRPr="008A74FF">
              <w:t xml:space="preserve">identification </w:t>
            </w:r>
            <w:r w:rsidRPr="008A74FF">
              <w:t xml:space="preserve">of electrical apparatus associated with power industry assets within the electrical distribution system - SWER, HV overhead conductors and cables, LV overhead conductors and cables, underground cables (as attached to the poles), overhead transition points </w:t>
            </w:r>
            <w:r w:rsidRPr="008A74FF">
              <w:t>and termination hardware, vibration mitigation hardware, insulators, cross-arms, cross-arm mountings and brackets, switches, HV fuses  and fuse carriers, surge diverters, auto-reclose devices, pole mounted transformers and substations, possum guards, earth</w:t>
            </w:r>
            <w:r w:rsidRPr="008A74FF">
              <w:t xml:space="preserve"> guards, angle of the pole, height of conductors, public lights, bolts and associated pole fixings</w:t>
            </w:r>
          </w:p>
          <w:p w:rsidR="00000000" w:rsidRPr="008A74FF" w:rsidP="008A74FF">
            <w:pPr>
              <w:pStyle w:val="ListBullet2"/>
            </w:pPr>
            <w:r w:rsidRPr="008A74FF">
              <w:t>operational knowledge of the purpose of electrical apparatus associated with power industry assets within the electrical distribution system - SWER, HV overh</w:t>
            </w:r>
            <w:r w:rsidRPr="008A74FF">
              <w:t>ead conductors and cables, LV overhead conductors and cables, underground cables (as attached to the poles), overhead transition points and termination hardware, vibration mitigation hardware, insulators, cross-arms, cross-arm mountings and brackets, switc</w:t>
            </w:r>
            <w:r w:rsidRPr="008A74FF">
              <w:t>hes, HV fuses and fuse carriers, surge diverters, auto-reclose devices, pole mounted transformers and substations, possum guards, earth guards, angle of the pole, height of conductors, public lights, bolts and associated pole fixings</w:t>
            </w:r>
          </w:p>
          <w:p w:rsidR="00000000" w:rsidRPr="008A74FF" w:rsidP="008A74FF">
            <w:pPr>
              <w:pStyle w:val="ListBullet2"/>
            </w:pPr>
            <w:r w:rsidRPr="008A74FF">
              <w:t xml:space="preserve">interpretation of the </w:t>
            </w:r>
            <w:r w:rsidRPr="008A74FF">
              <w:t>operational characteristics and purpose of electrical apparatus associated with power industry assets</w:t>
            </w:r>
          </w:p>
          <w:p w:rsidR="00000000" w:rsidRPr="008A74FF" w:rsidP="008A74FF">
            <w:pPr>
              <w:pStyle w:val="ListBullet2"/>
            </w:pPr>
            <w:r w:rsidRPr="008A74FF">
              <w:t>documenting inspection findings in accordance with enterprise requirements.</w:t>
            </w:r>
          </w:p>
        </w:tc>
      </w:tr>
    </w:tbl>
    <w:p w:rsidR="00000000" w:rsidRPr="008A74FF" w:rsidP="008A74FF">
      <w:pPr>
        <w:pStyle w:val="NoPaddingFontSize1"/>
      </w:pPr>
    </w:p>
    <w:p w:rsidR="00000000" w:rsidRPr="008A74FF" w:rsidP="008A74FF">
      <w:pPr>
        <w:pStyle w:val="AllowPageBreak"/>
      </w:pPr>
    </w:p>
    <w:p w:rsidR="00000000" w:rsidRPr="008A74FF" w:rsidP="008A74FF">
      <w:pPr>
        <w:pStyle w:val="Heading1"/>
      </w:pPr>
      <w:bookmarkStart w:id="4" w:name="O_1003016"/>
      <w:bookmarkEnd w:id="4"/>
      <w:r w:rsidRPr="008A74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74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4FF" w:rsidP="008A74FF">
            <w:pPr>
              <w:pStyle w:val="BodyText"/>
            </w:pPr>
            <w:r w:rsidRPr="008A74FF">
              <w:t>Assessors must hold credentials specified within the Standards for Registered Training Organisations current at the time of assessment.</w:t>
            </w:r>
          </w:p>
          <w:p w:rsidR="00000000" w:rsidRPr="008A74FF" w:rsidP="008A74FF">
            <w:pPr>
              <w:pStyle w:val="BodyText"/>
            </w:pPr>
            <w:r w:rsidRPr="008A74FF">
              <w:t>Assessment must satisfy the Principles of Assessment and Rules of Evidence and all regulatory requirements included with</w:t>
            </w:r>
            <w:r w:rsidRPr="008A74FF">
              <w:t>in the Standards for Registered Training Organisations current at the time of assessment.</w:t>
            </w:r>
          </w:p>
          <w:p w:rsidR="00000000" w:rsidRPr="008A74FF" w:rsidP="008A74FF">
            <w:pPr>
              <w:pStyle w:val="BodyText"/>
            </w:pPr>
            <w:r w:rsidRPr="008A74FF">
              <w:t>Assessment must occur in workplace operational situations where it is appropriate to do so; where this is not appropriate, assessment must occur in simulated conditio</w:t>
            </w:r>
            <w:r w:rsidRPr="008A74FF">
              <w:t>ns involving realistic and authentic activities that replicate operational workplace conditions.</w:t>
            </w:r>
          </w:p>
          <w:p w:rsidR="00000000" w:rsidRPr="008A74FF" w:rsidP="008A74FF">
            <w:pPr>
              <w:pStyle w:val="BodyText"/>
            </w:pPr>
            <w:r w:rsidRPr="008A74FF">
              <w:t xml:space="preserve">Assessment processes and techniques must be appropriate to the language, literacy and numeracy </w:t>
            </w:r>
            <w:r w:rsidRPr="008A74FF">
              <w:t>requirements of the work being performed and the needs of the ca</w:t>
            </w:r>
            <w:r w:rsidRPr="008A74FF">
              <w:t>ndidate.</w:t>
            </w:r>
          </w:p>
          <w:p w:rsidR="00000000" w:rsidRPr="008A74FF" w:rsidP="008A74FF">
            <w:pPr>
              <w:pStyle w:val="BodyText"/>
            </w:pPr>
            <w:r w:rsidRPr="008A74FF">
              <w:t>Resources for assessment must include access to:</w:t>
            </w:r>
          </w:p>
          <w:p w:rsidR="00000000" w:rsidRPr="008A74FF" w:rsidP="008A74FF">
            <w:pPr>
              <w:pStyle w:val="ListBullet"/>
            </w:pPr>
            <w:r w:rsidRPr="008A74FF">
              <w:t>a range of relevant exercises, case studies and/or other simulations</w:t>
            </w:r>
          </w:p>
          <w:p w:rsidR="00000000" w:rsidRPr="008A74FF" w:rsidP="008A74FF">
            <w:pPr>
              <w:pStyle w:val="ListBullet"/>
            </w:pPr>
            <w:r w:rsidRPr="008A74FF">
              <w:t>relevant and appropriate materials, tools, equipment and PPE currently used in industry</w:t>
            </w:r>
          </w:p>
          <w:p w:rsidR="00000000" w:rsidRPr="008A74FF" w:rsidP="008A74FF">
            <w:pPr>
              <w:pStyle w:val="ListBullet"/>
            </w:pPr>
            <w:r w:rsidRPr="008A74FF">
              <w:t>applicable documentation, including work</w:t>
            </w:r>
            <w:r w:rsidRPr="008A74FF">
              <w:t>place procedures, equipment specifications, regulations, codes of practice and operation manuals.</w:t>
            </w:r>
          </w:p>
        </w:tc>
      </w:tr>
    </w:tbl>
    <w:p w:rsidR="00000000" w:rsidRPr="008A74FF" w:rsidP="008A74FF">
      <w:pPr>
        <w:pStyle w:val="NoPaddingFontSize1"/>
      </w:pPr>
    </w:p>
    <w:p w:rsidR="00000000" w:rsidRPr="008A74FF" w:rsidP="008A74FF">
      <w:pPr>
        <w:pStyle w:val="AllowPageBreak"/>
      </w:pPr>
    </w:p>
    <w:p w:rsidR="00000000" w:rsidRPr="008A74FF" w:rsidP="008A74FF">
      <w:pPr>
        <w:pStyle w:val="Heading1"/>
      </w:pPr>
      <w:bookmarkStart w:id="5" w:name="O_1003019"/>
      <w:bookmarkEnd w:id="5"/>
      <w:r w:rsidRPr="008A74FF">
        <w:t>Links</w:t>
      </w:r>
    </w:p>
    <w:p w:rsidR="00000000" w:rsidRPr="008A74FF" w:rsidP="006E2D92">
      <w:pPr>
        <w:pStyle w:val="BodyText"/>
      </w:pPr>
      <w:r w:rsidRPr="008A74FF">
        <w:t>UET Training Package Companion Volume Imple</w:t>
      </w:r>
      <w:r w:rsidRPr="008A74FF">
        <w:t xml:space="preserve">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6AC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A74FF" w:rsidP="008A74FF"/>
    <w:sectPr w:rsidSect="008A74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FF" w:rsidRPr="006E2D92" w:rsidP="006E2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92" w:rsidP="008A7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D92" w:rsidP="008A7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2D92" w:rsidP="008A7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4FF" w:rsidRPr="006E2D92" w:rsidP="006E2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92" w:rsidRPr="002D2AF8" w:rsidP="008A7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UETTDREL19 Identify and interpret characteristics of electrical apparatus associated with power industry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E2D92" w:rsidP="008A7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A7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067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D41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4FF"/>
  </w:style>
  <w:style w:type="character" w:customStyle="1" w:styleId="Heading1Char">
    <w:name w:val="Heading 1 Char"/>
    <w:basedOn w:val="DefaultParagraphFont"/>
    <w:link w:val="Heading1"/>
    <w:rsid w:val="008A7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4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74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7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4FF"/>
    <w:rPr>
      <w:b/>
      <w:spacing w:val="0"/>
    </w:rPr>
  </w:style>
  <w:style w:type="paragraph" w:customStyle="1" w:styleId="SuperTitle">
    <w:name w:val="SuperTitle"/>
    <w:basedOn w:val="Title"/>
    <w:rsid w:val="008A7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4FF"/>
    <w:rPr>
      <w:i/>
    </w:rPr>
  </w:style>
  <w:style w:type="paragraph" w:styleId="Caption">
    <w:name w:val="caption"/>
    <w:basedOn w:val="BodyText"/>
    <w:next w:val="Normal"/>
    <w:qFormat/>
    <w:rsid w:val="008A7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4FF"/>
  </w:style>
  <w:style w:type="paragraph" w:styleId="TableofFigures">
    <w:name w:val="table of figures"/>
    <w:basedOn w:val="Normal"/>
    <w:next w:val="Normal"/>
    <w:semiHidden/>
    <w:rsid w:val="008A7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4FF"/>
    <w:rPr>
      <w:rFonts w:ascii="Wingdings" w:hAnsi="Wingdings"/>
    </w:rPr>
  </w:style>
  <w:style w:type="paragraph" w:customStyle="1" w:styleId="TableHeading">
    <w:name w:val="Table Heading"/>
    <w:basedOn w:val="HeadingBase"/>
    <w:rsid w:val="008A7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4FF"/>
    <w:rPr>
      <w:color w:val="0033CC"/>
      <w:u w:val="none"/>
    </w:rPr>
  </w:style>
  <w:style w:type="paragraph" w:customStyle="1" w:styleId="BodyTextRight">
    <w:name w:val="Body Text Right"/>
    <w:basedOn w:val="BodyText"/>
    <w:rsid w:val="008A7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4FF"/>
    <w:rPr>
      <w:sz w:val="32"/>
    </w:rPr>
  </w:style>
  <w:style w:type="paragraph" w:customStyle="1" w:styleId="HeadingProcedure">
    <w:name w:val="Heading Procedure"/>
    <w:basedOn w:val="HeadingBase"/>
    <w:next w:val="Normal"/>
    <w:rsid w:val="008A7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4FF"/>
    <w:pPr>
      <w:spacing w:before="60" w:after="60"/>
    </w:pPr>
  </w:style>
  <w:style w:type="paragraph" w:styleId="ListContinue">
    <w:name w:val="List Continue"/>
    <w:basedOn w:val="List"/>
    <w:rsid w:val="008A74FF"/>
    <w:pPr>
      <w:ind w:firstLine="0"/>
    </w:pPr>
  </w:style>
  <w:style w:type="paragraph" w:customStyle="1" w:styleId="ListNote">
    <w:name w:val="List Note"/>
    <w:basedOn w:val="List"/>
    <w:rsid w:val="008A7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4FF"/>
    <w:rPr>
      <w:rFonts w:ascii="Courier New" w:hAnsi="Courier New"/>
    </w:rPr>
  </w:style>
  <w:style w:type="paragraph" w:customStyle="1" w:styleId="NoteBullet">
    <w:name w:val="Note Bullet"/>
    <w:basedOn w:val="Note"/>
    <w:rsid w:val="008A7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4FF"/>
    <w:rPr>
      <w:b/>
      <w:smallCaps/>
    </w:rPr>
  </w:style>
  <w:style w:type="paragraph" w:customStyle="1" w:styleId="TableListNumber">
    <w:name w:val="Table List Number"/>
    <w:basedOn w:val="ListNumber"/>
    <w:rsid w:val="008A7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4FF"/>
    <w:pPr>
      <w:numPr>
        <w:numId w:val="9"/>
      </w:numPr>
    </w:pPr>
  </w:style>
  <w:style w:type="paragraph" w:customStyle="1" w:styleId="ListAlpha2">
    <w:name w:val="List Alpha 2"/>
    <w:basedOn w:val="List2"/>
    <w:rsid w:val="008A74FF"/>
    <w:pPr>
      <w:numPr>
        <w:numId w:val="8"/>
      </w:numPr>
    </w:pPr>
  </w:style>
  <w:style w:type="paragraph" w:styleId="List2">
    <w:name w:val="List 2"/>
    <w:basedOn w:val="BodyText"/>
    <w:rsid w:val="008A7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4FF"/>
    <w:pPr>
      <w:numPr>
        <w:numId w:val="4"/>
      </w:numPr>
    </w:pPr>
  </w:style>
  <w:style w:type="paragraph" w:styleId="ListContinue2">
    <w:name w:val="List Continue 2"/>
    <w:basedOn w:val="List2"/>
    <w:rsid w:val="008A74FF"/>
    <w:pPr>
      <w:ind w:firstLine="0"/>
    </w:pPr>
  </w:style>
  <w:style w:type="paragraph" w:styleId="ListContinue3">
    <w:name w:val="List Continue 3"/>
    <w:basedOn w:val="List3"/>
    <w:rsid w:val="008A74FF"/>
    <w:pPr>
      <w:ind w:left="1021" w:firstLine="0"/>
    </w:pPr>
  </w:style>
  <w:style w:type="paragraph" w:styleId="ListContinue4">
    <w:name w:val="List Continue 4"/>
    <w:basedOn w:val="List4"/>
    <w:rsid w:val="008A74FF"/>
    <w:pPr>
      <w:ind w:firstLine="0"/>
    </w:pPr>
  </w:style>
  <w:style w:type="paragraph" w:styleId="ListContinue5">
    <w:name w:val="List Continue 5"/>
    <w:basedOn w:val="List5"/>
    <w:rsid w:val="008A74FF"/>
    <w:pPr>
      <w:ind w:firstLine="0"/>
    </w:pPr>
  </w:style>
  <w:style w:type="paragraph" w:styleId="ListNumber3">
    <w:name w:val="List Number 3"/>
    <w:basedOn w:val="List3"/>
    <w:rsid w:val="008A74FF"/>
    <w:pPr>
      <w:numPr>
        <w:numId w:val="5"/>
      </w:numPr>
    </w:pPr>
  </w:style>
  <w:style w:type="paragraph" w:styleId="ListNumber4">
    <w:name w:val="List Number 4"/>
    <w:basedOn w:val="List4"/>
    <w:rsid w:val="008A74FF"/>
    <w:pPr>
      <w:numPr>
        <w:numId w:val="6"/>
      </w:numPr>
    </w:pPr>
  </w:style>
  <w:style w:type="paragraph" w:styleId="ListNumber5">
    <w:name w:val="List Number 5"/>
    <w:basedOn w:val="List5"/>
    <w:rsid w:val="008A74FF"/>
    <w:pPr>
      <w:numPr>
        <w:numId w:val="7"/>
      </w:numPr>
    </w:pPr>
  </w:style>
  <w:style w:type="paragraph" w:styleId="BlockText">
    <w:name w:val="Block Text"/>
    <w:basedOn w:val="Normal"/>
    <w:rsid w:val="008A7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4FF"/>
    <w:rPr>
      <w:sz w:val="16"/>
      <w:vertAlign w:val="superscript"/>
    </w:rPr>
  </w:style>
  <w:style w:type="character" w:customStyle="1" w:styleId="Symbols">
    <w:name w:val="Symbols"/>
    <w:basedOn w:val="DefaultParagraphFont"/>
    <w:rsid w:val="008A74FF"/>
    <w:rPr>
      <w:rFonts w:ascii="Symbol" w:hAnsi="Symbol"/>
    </w:rPr>
  </w:style>
  <w:style w:type="character" w:customStyle="1" w:styleId="MenuOptions">
    <w:name w:val="Menu Options"/>
    <w:basedOn w:val="DefaultParagraphFont"/>
    <w:rsid w:val="008A7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4FF"/>
    <w:rPr>
      <w:b/>
    </w:rPr>
  </w:style>
  <w:style w:type="character" w:customStyle="1" w:styleId="Underlined">
    <w:name w:val="Underlined"/>
    <w:basedOn w:val="DefaultParagraphFont"/>
    <w:rsid w:val="008A74FF"/>
    <w:rPr>
      <w:u w:val="single"/>
    </w:rPr>
  </w:style>
  <w:style w:type="paragraph" w:customStyle="1" w:styleId="TableBodyTextRight">
    <w:name w:val="Table Body Text Right"/>
    <w:basedOn w:val="TableBodyText"/>
    <w:rsid w:val="008A7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4FF"/>
    <w:rPr>
      <w:sz w:val="18"/>
    </w:rPr>
  </w:style>
  <w:style w:type="paragraph" w:customStyle="1" w:styleId="BodySmallRight">
    <w:name w:val="Body Small Right"/>
    <w:basedOn w:val="BodyTextRight"/>
    <w:rsid w:val="008A74FF"/>
    <w:rPr>
      <w:sz w:val="18"/>
      <w:szCs w:val="18"/>
    </w:rPr>
  </w:style>
  <w:style w:type="paragraph" w:customStyle="1" w:styleId="MarginEdition">
    <w:name w:val="Margin Edition"/>
    <w:basedOn w:val="MarginNote"/>
    <w:rsid w:val="008A7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4FF"/>
    <w:rPr>
      <w:sz w:val="2"/>
      <w:szCs w:val="2"/>
    </w:rPr>
  </w:style>
  <w:style w:type="character" w:customStyle="1" w:styleId="Small">
    <w:name w:val="Small"/>
    <w:basedOn w:val="DefaultParagraphFont"/>
    <w:rsid w:val="008A74FF"/>
    <w:rPr>
      <w:sz w:val="16"/>
    </w:rPr>
  </w:style>
  <w:style w:type="paragraph" w:customStyle="1" w:styleId="WideTable">
    <w:name w:val="Wide Table"/>
    <w:basedOn w:val="Normal"/>
    <w:rsid w:val="008A7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4FF"/>
  </w:style>
  <w:style w:type="paragraph" w:styleId="Quote">
    <w:name w:val="Quote"/>
    <w:basedOn w:val="Heading1"/>
    <w:link w:val="QuoteChar"/>
    <w:qFormat/>
    <w:rsid w:val="008A7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4FF"/>
    <w:pPr>
      <w:pageBreakBefore/>
    </w:pPr>
  </w:style>
  <w:style w:type="paragraph" w:customStyle="1" w:styleId="Border">
    <w:name w:val="Border"/>
    <w:basedOn w:val="Normal"/>
    <w:qFormat/>
    <w:rsid w:val="008A7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4FF"/>
    <w:rPr>
      <w:u w:val="single"/>
    </w:rPr>
  </w:style>
  <w:style w:type="character" w:customStyle="1" w:styleId="BoldandItalics">
    <w:name w:val="Bold and Italics"/>
    <w:qFormat/>
    <w:rsid w:val="008A74FF"/>
    <w:rPr>
      <w:b/>
      <w:i/>
      <w:u w:val="none"/>
    </w:rPr>
  </w:style>
  <w:style w:type="paragraph" w:styleId="BalloonText">
    <w:name w:val="Balloon Text"/>
    <w:basedOn w:val="Normal"/>
    <w:link w:val="BalloonTextChar"/>
    <w:rsid w:val="008A7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4FF"/>
    <w:pPr>
      <w:spacing w:before="0" w:after="0"/>
    </w:pPr>
  </w:style>
  <w:style w:type="paragraph" w:customStyle="1" w:styleId="BodyTextBold">
    <w:name w:val="Body Text Bold"/>
    <w:basedOn w:val="BodyText"/>
    <w:qFormat/>
    <w:rsid w:val="008A74FF"/>
    <w:rPr>
      <w:b/>
    </w:rPr>
  </w:style>
  <w:style w:type="character" w:styleId="Hyperlink">
    <w:name w:val="Hyperlink"/>
    <w:basedOn w:val="DefaultParagraphFont"/>
    <w:uiPriority w:val="99"/>
    <w:unhideWhenUsed/>
    <w:rsid w:val="006E2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4743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UETTDREL19 Identify and interpret characteristics of electrical apparatus associated with power industry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