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34B8" w:rsidP="00D034B8">
      <w:pPr>
        <w:pStyle w:val="Title"/>
      </w:pPr>
      <w:r>
        <w:fldChar w:fldCharType="begin"/>
      </w:r>
      <w:r>
        <w:instrText xml:space="preserve"> TITLE   \* MERGEFORMAT </w:instrText>
      </w:r>
      <w:r>
        <w:fldChar w:fldCharType="separate"/>
      </w:r>
      <w:r>
        <w:t>UETTDREL17 Operate asset inspection machinery and equipment near live electrical apparatus</w:t>
      </w:r>
      <w:r>
        <w:fldChar w:fldCharType="end"/>
      </w:r>
    </w:p>
    <w:p w:rsidR="00D034B8" w:rsidP="00D034B8">
      <w:pPr>
        <w:pStyle w:val="Version"/>
        <w:sectPr w:rsidSect="004E00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001B" w:rsidP="004E001B">
      <w:pPr>
        <w:pStyle w:val="SuperHeading"/>
      </w:pPr>
      <w:r w:rsidRPr="004E001B">
        <w:t>UETTDREL17 Operate asset inspection machinery and equipment near live electrical apparatus</w:t>
      </w:r>
    </w:p>
    <w:p w:rsidR="00000000" w:rsidRPr="004E001B" w:rsidP="004E001B">
      <w:pPr>
        <w:pStyle w:val="Heading1"/>
      </w:pPr>
      <w:bookmarkStart w:id="1" w:name="O_1002965"/>
      <w:bookmarkEnd w:id="1"/>
      <w:r w:rsidRPr="004E001B">
        <w:t>Modification History</w:t>
      </w:r>
    </w:p>
    <w:tbl>
      <w:tblPr>
        <w:tblW w:w="9497" w:type="dxa"/>
        <w:tblLayout w:type="fixed"/>
        <w:tblCellMar>
          <w:left w:w="62" w:type="dxa"/>
          <w:right w:w="62" w:type="dxa"/>
        </w:tblCellMar>
        <w:tblLook w:val="0000"/>
      </w:tblPr>
      <w:tblGrid>
        <w:gridCol w:w="9497"/>
      </w:tblGrid>
      <w:tr w:rsidTr="004E00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001B" w:rsidP="004E001B">
            <w:pPr>
              <w:pStyle w:val="BodyText"/>
            </w:pPr>
            <w:r w:rsidRPr="004E001B">
              <w:t>Release 1. This is the first release of this unit of competency in the UET Transmission, Distribution and Rail Sector Training Package.</w:t>
            </w:r>
          </w:p>
        </w:tc>
      </w:tr>
    </w:tbl>
    <w:p w:rsidR="00000000" w:rsidRPr="004E001B" w:rsidP="004E001B">
      <w:pPr>
        <w:pStyle w:val="NoPaddingFontSize1"/>
      </w:pPr>
    </w:p>
    <w:p w:rsidR="00000000" w:rsidRPr="004E001B" w:rsidP="004E001B">
      <w:pPr>
        <w:pStyle w:val="AllowPageBreak"/>
      </w:pPr>
    </w:p>
    <w:p w:rsidR="00000000" w:rsidRPr="004E001B" w:rsidP="004E001B">
      <w:pPr>
        <w:pStyle w:val="Heading1"/>
      </w:pPr>
      <w:bookmarkStart w:id="2" w:name="O_1002966"/>
      <w:bookmarkEnd w:id="2"/>
      <w:r w:rsidRPr="004E001B">
        <w:t>Application</w:t>
      </w:r>
    </w:p>
    <w:tbl>
      <w:tblPr>
        <w:tblW w:w="9497" w:type="dxa"/>
        <w:tblLayout w:type="fixed"/>
        <w:tblCellMar>
          <w:left w:w="62" w:type="dxa"/>
          <w:right w:w="62" w:type="dxa"/>
        </w:tblCellMar>
        <w:tblLook w:val="0000"/>
      </w:tblPr>
      <w:tblGrid>
        <w:gridCol w:w="9497"/>
      </w:tblGrid>
      <w:tr w:rsidTr="004E00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001B" w:rsidP="004E001B">
            <w:pPr>
              <w:pStyle w:val="BodyText"/>
            </w:pPr>
            <w:r w:rsidRPr="004E001B">
              <w:t>This unit involves the skills and knowledge required to operate asset inspection machin</w:t>
            </w:r>
            <w:r w:rsidRPr="004E001B">
              <w:t>ery and equipment near live electrical apparatus in the electricity supply industry (ESI).</w:t>
            </w:r>
          </w:p>
          <w:p w:rsidR="00000000" w:rsidRPr="004E001B" w:rsidP="004E001B">
            <w:pPr>
              <w:pStyle w:val="BodyText"/>
            </w:pPr>
            <w:r w:rsidRPr="004E001B">
              <w:t>It includes inspecting and maintaining machinery and equipment, identifying hazards, assessing risks and implementing risk control measures. It also includes complyi</w:t>
            </w:r>
            <w:r w:rsidRPr="004E001B">
              <w:t>ng with relevant regulatory agencies/bodies, legislation, industry guidelines, codes of practice for safe use of machinery and equipment operating near live electrical and mechanical apparatus.</w:t>
            </w:r>
          </w:p>
          <w:p w:rsidR="00000000" w:rsidRPr="004E001B" w:rsidP="004E001B">
            <w:pPr>
              <w:pStyle w:val="BodyText"/>
            </w:pPr>
            <w:r w:rsidRPr="004E001B">
              <w:t>This unit would be applied by asset inspectors engaged in regu</w:t>
            </w:r>
            <w:r w:rsidRPr="004E001B">
              <w:t>lar and methodical inspection and treatment of poles and inspection of electrical apparatus in the transmission and distribution industry sector.</w:t>
            </w:r>
          </w:p>
          <w:p w:rsidR="00000000" w:rsidRPr="004E001B" w:rsidP="004E001B">
            <w:pPr>
              <w:pStyle w:val="BodyText"/>
            </w:pPr>
            <w:r w:rsidRPr="004E001B">
              <w:t>The application of the skills and knowledge described in this unit may require a license to operate specific p</w:t>
            </w:r>
            <w:r w:rsidRPr="004E001B">
              <w:t>ieces of equipment such as elevated work platforms.</w:t>
            </w:r>
          </w:p>
          <w:p w:rsidR="00000000" w:rsidRPr="004E001B" w:rsidP="004E001B">
            <w:pPr>
              <w:pStyle w:val="BodyText"/>
            </w:pPr>
            <w:r w:rsidRPr="004E001B">
              <w:t>Other conditions may apply under state and territory legislative and regulatory licencing requirements which must be confirmed prior to commencing this unit.</w:t>
            </w:r>
          </w:p>
        </w:tc>
      </w:tr>
    </w:tbl>
    <w:p w:rsidR="00000000" w:rsidRPr="004E001B" w:rsidP="004E001B">
      <w:pPr>
        <w:pStyle w:val="NoPaddingFontSize1"/>
      </w:pPr>
    </w:p>
    <w:p w:rsidR="00000000" w:rsidRPr="004E001B" w:rsidP="004E001B">
      <w:pPr>
        <w:pStyle w:val="AllowPageBreak"/>
      </w:pPr>
    </w:p>
    <w:p w:rsidR="00000000" w:rsidRPr="004E001B" w:rsidP="004E001B">
      <w:pPr>
        <w:pStyle w:val="Heading1"/>
      </w:pPr>
      <w:bookmarkStart w:id="3" w:name="O_1002967"/>
      <w:bookmarkEnd w:id="3"/>
      <w:r w:rsidRPr="004E001B">
        <w:t>Pre-requisite Unit</w:t>
      </w:r>
    </w:p>
    <w:tbl>
      <w:tblPr>
        <w:tblW w:w="9497" w:type="dxa"/>
        <w:tblLayout w:type="fixed"/>
        <w:tblCellMar>
          <w:left w:w="62" w:type="dxa"/>
          <w:right w:w="62" w:type="dxa"/>
        </w:tblCellMar>
        <w:tblLook w:val="0000"/>
      </w:tblPr>
      <w:tblGrid>
        <w:gridCol w:w="9497"/>
      </w:tblGrid>
      <w:tr w:rsidTr="004E00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001B" w:rsidP="004E001B">
            <w:pPr>
              <w:pStyle w:val="BodyText"/>
            </w:pPr>
            <w:r w:rsidRPr="004E001B">
              <w:t>Common</w:t>
            </w:r>
            <w:r w:rsidRPr="004E001B">
              <w:t xml:space="preserve"> Unit Group</w:t>
            </w:r>
          </w:p>
          <w:p w:rsidR="00000000" w:rsidRPr="004E001B" w:rsidP="004E001B">
            <w:pPr>
              <w:pStyle w:val="BodyText"/>
            </w:pPr>
            <w:r w:rsidRPr="004E001B">
              <w:t>UEENEEE101A Apply Occupational Health and Safety regulations, codes and practices in the workplace</w:t>
            </w:r>
          </w:p>
          <w:p w:rsidR="00000000" w:rsidRPr="004E001B" w:rsidP="004E001B">
            <w:pPr>
              <w:pStyle w:val="BodyText"/>
            </w:pPr>
            <w:r w:rsidRPr="004E001B">
              <w:t>UETTDREL13 Comply with sustainability, environmental and incidental response policies and procedures</w:t>
            </w:r>
          </w:p>
          <w:p w:rsidR="00000000" w:rsidRPr="004E001B" w:rsidP="004E001B">
            <w:pPr>
              <w:pStyle w:val="BodyText"/>
            </w:pPr>
            <w:r w:rsidRPr="004E001B">
              <w:t>UETTDREL14 Working safely near live electric</w:t>
            </w:r>
            <w:r w:rsidRPr="004E001B">
              <w:t>al apparatus as a non-electrical worker</w:t>
            </w:r>
          </w:p>
        </w:tc>
      </w:tr>
    </w:tbl>
    <w:p w:rsidR="00000000" w:rsidRPr="004E001B" w:rsidP="004E001B">
      <w:pPr>
        <w:pStyle w:val="NoPaddingFontSize1"/>
      </w:pPr>
    </w:p>
    <w:p w:rsidR="00000000" w:rsidRPr="004E001B" w:rsidP="004E001B">
      <w:pPr>
        <w:pStyle w:val="AllowPageBreak"/>
      </w:pPr>
    </w:p>
    <w:p w:rsidR="00000000" w:rsidRPr="004E001B" w:rsidP="004E001B">
      <w:pPr>
        <w:pStyle w:val="Heading1"/>
      </w:pPr>
      <w:bookmarkStart w:id="4" w:name="O_1002968"/>
      <w:bookmarkEnd w:id="4"/>
      <w:r w:rsidRPr="004E001B">
        <w:t>Competency Field</w:t>
      </w:r>
    </w:p>
    <w:tbl>
      <w:tblPr>
        <w:tblW w:w="9497" w:type="dxa"/>
        <w:tblLayout w:type="fixed"/>
        <w:tblCellMar>
          <w:left w:w="62" w:type="dxa"/>
          <w:right w:w="62" w:type="dxa"/>
        </w:tblCellMar>
        <w:tblLook w:val="0000"/>
      </w:tblPr>
      <w:tblGrid>
        <w:gridCol w:w="9497"/>
      </w:tblGrid>
      <w:tr w:rsidTr="004E00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001B" w:rsidP="004E001B">
            <w:pPr>
              <w:pStyle w:val="BodyText"/>
            </w:pPr>
            <w:r w:rsidRPr="004E001B">
              <w:t>Entry Level Cross Discipline</w:t>
            </w:r>
          </w:p>
        </w:tc>
      </w:tr>
    </w:tbl>
    <w:p w:rsidR="00000000" w:rsidRPr="004E001B" w:rsidP="004E001B">
      <w:pPr>
        <w:pStyle w:val="NoPaddingFontSize1"/>
      </w:pPr>
    </w:p>
    <w:p w:rsidR="00000000" w:rsidRPr="004E001B" w:rsidP="004E001B">
      <w:pPr>
        <w:pStyle w:val="AllowPageBreak"/>
      </w:pPr>
    </w:p>
    <w:p w:rsidR="00000000" w:rsidRPr="004E001B" w:rsidP="004E001B">
      <w:pPr>
        <w:pStyle w:val="Heading1"/>
      </w:pPr>
      <w:bookmarkStart w:id="5" w:name="O_1002969"/>
      <w:bookmarkEnd w:id="5"/>
      <w:r w:rsidRPr="004E001B">
        <w:t>Unit Sector</w:t>
      </w:r>
    </w:p>
    <w:tbl>
      <w:tblPr>
        <w:tblW w:w="9497" w:type="dxa"/>
        <w:tblLayout w:type="fixed"/>
        <w:tblCellMar>
          <w:left w:w="62" w:type="dxa"/>
          <w:right w:w="62" w:type="dxa"/>
        </w:tblCellMar>
        <w:tblLook w:val="0000"/>
      </w:tblPr>
      <w:tblGrid>
        <w:gridCol w:w="9497"/>
      </w:tblGrid>
      <w:tr w:rsidTr="004E00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001B" w:rsidP="004E001B">
            <w:pPr>
              <w:pStyle w:val="BodyText"/>
            </w:pPr>
            <w:r w:rsidRPr="004E001B">
              <w:t>Not applicable.</w:t>
            </w:r>
          </w:p>
        </w:tc>
      </w:tr>
    </w:tbl>
    <w:p w:rsidR="00000000" w:rsidRPr="004E001B" w:rsidP="004E001B">
      <w:pPr>
        <w:pStyle w:val="NoPaddingFontSize1"/>
      </w:pPr>
    </w:p>
    <w:p w:rsidR="00000000" w:rsidRPr="004E001B" w:rsidP="004E001B">
      <w:pPr>
        <w:pStyle w:val="AllowPageBreak"/>
      </w:pPr>
    </w:p>
    <w:p w:rsidR="00000000" w:rsidRPr="004E001B" w:rsidP="004E001B">
      <w:pPr>
        <w:pStyle w:val="Heading1"/>
      </w:pPr>
      <w:bookmarkStart w:id="6" w:name="O_1002970"/>
      <w:bookmarkEnd w:id="6"/>
      <w:r w:rsidRPr="004E001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E001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E001B" w:rsidP="004E001B">
            <w:pPr>
              <w:pStyle w:val="BodyText"/>
            </w:pPr>
            <w:r w:rsidRPr="004E001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rPr>
                <w:rStyle w:val="SpecialBold"/>
              </w:rPr>
              <w:t>PERFORMANCE CRITERIA</w:t>
            </w:r>
          </w:p>
        </w:tc>
      </w:tr>
      <w:tr w:rsidTr="004E001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t>Performance criteria describe the performance needed to demonstrate achievement of the element.</w:t>
            </w:r>
          </w:p>
        </w:tc>
      </w:tr>
      <w:tr w:rsidTr="004E00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E001B" w:rsidP="004E001B">
            <w:pPr>
              <w:pStyle w:val="BodyText"/>
            </w:pPr>
            <w:r w:rsidRPr="004E001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E001B" w:rsidP="004E001B">
            <w:pPr>
              <w:pStyle w:val="BodyText"/>
            </w:pPr>
            <w:r w:rsidRPr="004E001B">
              <w:rPr>
                <w:rStyle w:val="SpecialBold"/>
              </w:rPr>
              <w:t>Prepare to operate machinery and equipment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t>Relevant work instructions are rec</w:t>
            </w:r>
            <w:r w:rsidRPr="004E001B">
              <w:t>eived and confirmed</w:t>
            </w:r>
          </w:p>
        </w:tc>
      </w:tr>
      <w:tr w:rsidTr="004E00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00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t>Job requirements are discussed with relevant personnel and performed in accordance with workplace procedures</w:t>
            </w:r>
          </w:p>
        </w:tc>
      </w:tr>
      <w:tr w:rsidTr="004E00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00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t>Work health and safety (WHS)/occupational health and safety (OHS) and environmental workplace procedures are received and confirmed</w:t>
            </w:r>
          </w:p>
        </w:tc>
      </w:tr>
      <w:tr w:rsidTr="004E00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00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t>Work is prioritised and sequenced following consultation with relevant personnel for completion within acceptable tim</w:t>
            </w:r>
            <w:r w:rsidRPr="004E001B">
              <w:t>eframes and in accordance with workplace procedures</w:t>
            </w:r>
          </w:p>
        </w:tc>
      </w:tr>
      <w:tr w:rsidTr="004E00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00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t>Hazards are identified, WHS/OHS risks assessed and control measures identified in accordance with workplace procedures</w:t>
            </w:r>
          </w:p>
        </w:tc>
      </w:tr>
      <w:tr w:rsidTr="004E00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00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t xml:space="preserve">Relevant work permits are obtained, as required, to access and perform </w:t>
            </w:r>
            <w:r w:rsidRPr="004E001B">
              <w:t>work in accordance with job requirements and/or workplace procedures</w:t>
            </w:r>
          </w:p>
        </w:tc>
      </w:tr>
      <w:tr w:rsidTr="004E00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00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t xml:space="preserve">Resources including machinery, equipment and personal protective equipment (PPE) required for the job are obtained and confirmed in working </w:t>
            </w:r>
            <w:r w:rsidRPr="004E001B">
              <w:t>order in accordance with workplace procedures</w:t>
            </w:r>
          </w:p>
        </w:tc>
      </w:tr>
      <w:tr w:rsidTr="004E00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00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t>Relevant person responsible for first aid and related work safety procedures at the worksite is confirmed in accordance with workplace procedures to ensure safety measures are followed in the instance of</w:t>
            </w:r>
            <w:r w:rsidRPr="004E001B">
              <w:t xml:space="preserve"> an incident</w:t>
            </w:r>
          </w:p>
        </w:tc>
      </w:tr>
      <w:tr w:rsidTr="004E00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00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t xml:space="preserve">Liaison and communication issues with appropriate personnel, authorities, clients and land owners are </w:t>
            </w:r>
            <w:r w:rsidRPr="004E001B">
              <w:t>resolved to carry out work, where necessary</w:t>
            </w:r>
          </w:p>
        </w:tc>
      </w:tr>
      <w:tr w:rsidTr="004E00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00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t>Worksite is prepared to minimise risk, damage to property, commerce and individual</w:t>
            </w:r>
            <w:r w:rsidRPr="004E001B">
              <w:t>s in accordance with workplace procedures</w:t>
            </w:r>
          </w:p>
        </w:tc>
      </w:tr>
      <w:tr w:rsidTr="004E00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00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t>Personnel participating in work are fully briefed and responsibilities confirmed in accordance with workplace procedures</w:t>
            </w:r>
          </w:p>
        </w:tc>
      </w:tr>
      <w:tr w:rsidTr="004E00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00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t>Traffic management is checked as implemented in accordance with workplace procedures</w:t>
            </w:r>
          </w:p>
        </w:tc>
      </w:tr>
      <w:tr w:rsidTr="004E00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00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rPr>
                <w:rStyle w:val="SpecialBold"/>
              </w:rPr>
              <w:t>1.13</w:t>
            </w:r>
          </w:p>
        </w:tc>
        <w:tc>
          <w:tcPr>
            <w:tcW w:w="5592"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t xml:space="preserve">Pre-operational checks are undertaken to confirm safe and correct operation of machinery and equipment for safe use near live electrical apparatus </w:t>
            </w:r>
            <w:r w:rsidRPr="004E001B">
              <w:t>in accordance with job requirements and workplace procedures</w:t>
            </w:r>
          </w:p>
        </w:tc>
      </w:tr>
      <w:tr w:rsidTr="004E00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E001B" w:rsidP="004E001B">
            <w:pPr>
              <w:pStyle w:val="BodyText"/>
            </w:pPr>
            <w:r w:rsidRPr="004E001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E001B" w:rsidP="004E001B">
            <w:pPr>
              <w:pStyle w:val="BodyText"/>
            </w:pPr>
            <w:r w:rsidRPr="004E001B">
              <w:rPr>
                <w:rStyle w:val="SpecialBold"/>
              </w:rPr>
              <w:t>Carry out the operation of machinery and equipment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t>WHS/OHS, sustainable energy and environmental principles and practices are monitored and followed to reduc</w:t>
            </w:r>
            <w:r w:rsidRPr="004E001B">
              <w:t>e incidents of accidents in accordance with workplace procedures</w:t>
            </w:r>
          </w:p>
        </w:tc>
      </w:tr>
      <w:tr w:rsidTr="004E00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00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t>Appropriate machinery and equipment are selected to perform job requirements</w:t>
            </w:r>
          </w:p>
        </w:tc>
      </w:tr>
      <w:tr w:rsidTr="004E00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00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t>Machinery and equipment, techniques and</w:t>
            </w:r>
            <w:r w:rsidRPr="004E001B">
              <w:t xml:space="preserve"> practices are followed in accordance with manufacturer instructions and job requirements</w:t>
            </w:r>
          </w:p>
        </w:tc>
      </w:tr>
      <w:tr w:rsidTr="004E00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00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t>Machinery and equipment are used near live electrical apparatus in agreed timeframes, to quality standards and with minimum waste</w:t>
            </w:r>
          </w:p>
        </w:tc>
      </w:tr>
      <w:tr w:rsidTr="004E00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00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t>Hazard warnings and sa</w:t>
            </w:r>
            <w:r w:rsidRPr="004E001B">
              <w:t>fety signs are recognised and hazards and identified WHS/OHS risks are reported to immediate appropriate personnel for directions in accordance with workplace procedures</w:t>
            </w:r>
          </w:p>
        </w:tc>
      </w:tr>
      <w:tr w:rsidTr="004E00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00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t>Machinery and equipment are safely operated near live electrical apparatus in a</w:t>
            </w:r>
            <w:r w:rsidRPr="004E001B">
              <w:t>ccordance with work schedule, job requirements, given instructions and workplace procedures</w:t>
            </w:r>
          </w:p>
        </w:tc>
      </w:tr>
      <w:tr w:rsidTr="004E00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00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t>Unplanned events are referred to relevant authorised personnel for directions in accordance with workplace procedures</w:t>
            </w:r>
          </w:p>
        </w:tc>
      </w:tr>
      <w:tr w:rsidTr="004E00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00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t>Problems associated with the operation of machinery and equipment near live electrical apparatus are attended to using acquired known solutions and skills related to routine procedures to ensure work instructions and workplace procedures are met</w:t>
            </w:r>
          </w:p>
        </w:tc>
      </w:tr>
      <w:tr w:rsidTr="004E00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00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t>Kno</w:t>
            </w:r>
            <w:r w:rsidRPr="004E001B">
              <w:t>wn solutions to a variety of problems are applied using acquired knowledge and associated skills</w:t>
            </w:r>
          </w:p>
        </w:tc>
      </w:tr>
      <w:tr w:rsidTr="004E00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00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t>Quality checks of work are undertaken in accordance with industry standards and workplace procedures</w:t>
            </w:r>
          </w:p>
        </w:tc>
      </w:tr>
      <w:tr w:rsidTr="004E00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E001B" w:rsidP="004E001B">
            <w:pPr>
              <w:pStyle w:val="BodyText"/>
            </w:pPr>
            <w:r w:rsidRPr="004E001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E001B" w:rsidP="004E001B">
            <w:pPr>
              <w:pStyle w:val="BodyText"/>
            </w:pPr>
            <w:r w:rsidRPr="004E001B">
              <w:rPr>
                <w:rStyle w:val="SpecialBold"/>
              </w:rPr>
              <w:t>Complete the operation of machinery and equipme</w:t>
            </w:r>
            <w:r w:rsidRPr="004E001B">
              <w:rPr>
                <w:rStyle w:val="SpecialBold"/>
              </w:rPr>
              <w:t>nt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t>Completed work is checked against work schedule, construction plans and drawings for compliance and anomalies are reported in accordance with workplace procedures</w:t>
            </w:r>
          </w:p>
        </w:tc>
      </w:tr>
      <w:tr w:rsidTr="004E00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00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t>WHS/OHS and environmental incidents are reported in accordance with workplace procedures, as required</w:t>
            </w:r>
          </w:p>
        </w:tc>
      </w:tr>
      <w:tr w:rsidTr="004E00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00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t>Worksite is cleaned and confirmed safe in accordance with workplace procedures</w:t>
            </w:r>
          </w:p>
        </w:tc>
      </w:tr>
      <w:tr w:rsidTr="004E00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00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t>Machinery, equipment, tools and surplus resources and materia</w:t>
            </w:r>
            <w:r w:rsidRPr="004E001B">
              <w:t>ls are, where appropriate, cleaned, checked and returned to storage in accordance with workplace procedures</w:t>
            </w:r>
          </w:p>
        </w:tc>
      </w:tr>
      <w:tr w:rsidTr="004E00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00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t>Relevant person/s is notified of work completion in accordance with workplace procedures</w:t>
            </w:r>
          </w:p>
        </w:tc>
      </w:tr>
      <w:tr w:rsidTr="004E00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00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t>Post-operational checks, minor maintenance and/or relevant documentation of machinery and equipment are conducted in accordance with requirements</w:t>
            </w:r>
          </w:p>
        </w:tc>
      </w:tr>
      <w:tr w:rsidTr="004E00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00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t>Relevant work permits are signed off in accordance with workplace procedures</w:t>
            </w:r>
          </w:p>
        </w:tc>
      </w:tr>
      <w:tr w:rsidTr="004E00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E00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E001B">
            <w:pPr>
              <w:pStyle w:val="BodyText"/>
              <w:rPr>
                <w:lang w:val="en-NZ"/>
              </w:rPr>
            </w:pPr>
            <w:r w:rsidRPr="004E001B">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RPr="004E001B" w:rsidP="004E001B">
            <w:pPr>
              <w:pStyle w:val="BodyText"/>
            </w:pPr>
            <w:r w:rsidRPr="004E001B">
              <w:t>Work records, repor</w:t>
            </w:r>
            <w:r w:rsidRPr="004E001B">
              <w:t>ts and/or documentation are completed in accordance with workplace procedures</w:t>
            </w:r>
          </w:p>
        </w:tc>
      </w:tr>
    </w:tbl>
    <w:p w:rsidR="00000000" w:rsidRPr="004E001B" w:rsidP="004E001B">
      <w:pPr>
        <w:pStyle w:val="NoPaddingFontSize1"/>
      </w:pPr>
    </w:p>
    <w:p w:rsidR="00000000" w:rsidRPr="004E001B" w:rsidP="004E001B">
      <w:pPr>
        <w:pStyle w:val="AllowPageBreak"/>
      </w:pPr>
    </w:p>
    <w:p w:rsidR="00000000" w:rsidRPr="004E001B" w:rsidP="004E001B">
      <w:pPr>
        <w:pStyle w:val="Heading1"/>
      </w:pPr>
      <w:bookmarkStart w:id="7" w:name="O_1002971"/>
      <w:bookmarkEnd w:id="7"/>
      <w:r w:rsidRPr="004E001B">
        <w:t>Foundation Skills</w:t>
      </w:r>
    </w:p>
    <w:tbl>
      <w:tblPr>
        <w:tblW w:w="9497" w:type="dxa"/>
        <w:tblLayout w:type="fixed"/>
        <w:tblCellMar>
          <w:left w:w="62" w:type="dxa"/>
          <w:right w:w="62" w:type="dxa"/>
        </w:tblCellMar>
        <w:tblLook w:val="0000"/>
      </w:tblPr>
      <w:tblGrid>
        <w:gridCol w:w="9497"/>
      </w:tblGrid>
      <w:tr w:rsidTr="004E00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001B" w:rsidP="004E001B">
            <w:pPr>
              <w:pStyle w:val="BodyText"/>
            </w:pPr>
            <w:r w:rsidRPr="004E001B">
              <w:t>Foundation skills essential to performance are explicit in the performance criteria of this unit of competency.</w:t>
            </w:r>
          </w:p>
        </w:tc>
      </w:tr>
    </w:tbl>
    <w:p w:rsidR="00000000" w:rsidRPr="004E001B" w:rsidP="004E001B">
      <w:pPr>
        <w:pStyle w:val="NoPaddingFontSize1"/>
      </w:pPr>
    </w:p>
    <w:p w:rsidR="00000000" w:rsidRPr="004E001B" w:rsidP="004E001B">
      <w:pPr>
        <w:pStyle w:val="AllowPageBreak"/>
      </w:pPr>
    </w:p>
    <w:p w:rsidR="00000000" w:rsidRPr="004E001B" w:rsidP="004E001B">
      <w:pPr>
        <w:pStyle w:val="Heading1"/>
      </w:pPr>
      <w:bookmarkStart w:id="8" w:name="O_1002972"/>
      <w:bookmarkEnd w:id="8"/>
      <w:r w:rsidRPr="004E001B">
        <w:t>Range of Conditions</w:t>
      </w:r>
    </w:p>
    <w:tbl>
      <w:tblPr>
        <w:tblW w:w="9497" w:type="dxa"/>
        <w:tblLayout w:type="fixed"/>
        <w:tblCellMar>
          <w:left w:w="62" w:type="dxa"/>
          <w:right w:w="62" w:type="dxa"/>
        </w:tblCellMar>
        <w:tblLook w:val="0000"/>
      </w:tblPr>
      <w:tblGrid>
        <w:gridCol w:w="9497"/>
      </w:tblGrid>
      <w:tr w:rsidTr="004E00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001B" w:rsidP="004E001B">
            <w:pPr>
              <w:pStyle w:val="BodyText"/>
            </w:pPr>
            <w:r w:rsidRPr="004E001B">
              <w:t>Range is restricted to essential operating conditions and any other variables essential to the work environment.</w:t>
            </w:r>
          </w:p>
          <w:p w:rsidR="00000000" w:rsidRPr="004E001B" w:rsidP="004E001B">
            <w:pPr>
              <w:pStyle w:val="BodyText"/>
            </w:pPr>
            <w:r w:rsidRPr="004E001B">
              <w:t>Non-essential conditions may be found in the Companion Volume Implementation Guide.</w:t>
            </w:r>
          </w:p>
        </w:tc>
      </w:tr>
    </w:tbl>
    <w:p w:rsidR="00000000" w:rsidRPr="004E001B" w:rsidP="004E001B">
      <w:pPr>
        <w:pStyle w:val="NoPaddingFontSize1"/>
      </w:pPr>
    </w:p>
    <w:p w:rsidR="00000000" w:rsidRPr="004E001B" w:rsidP="004E001B">
      <w:pPr>
        <w:pStyle w:val="AllowPageBreak"/>
      </w:pPr>
    </w:p>
    <w:p w:rsidR="00000000" w:rsidRPr="004E001B" w:rsidP="004E001B">
      <w:pPr>
        <w:pStyle w:val="Heading1"/>
      </w:pPr>
      <w:bookmarkStart w:id="9" w:name="O_1002973"/>
      <w:bookmarkEnd w:id="9"/>
      <w:r w:rsidRPr="004E001B">
        <w:t>Unit Mapping Infor</w:t>
      </w:r>
      <w:r w:rsidRPr="004E001B">
        <w:t>mation</w:t>
      </w:r>
    </w:p>
    <w:tbl>
      <w:tblPr>
        <w:tblW w:w="9497" w:type="dxa"/>
        <w:tblLayout w:type="fixed"/>
        <w:tblCellMar>
          <w:left w:w="62" w:type="dxa"/>
          <w:right w:w="62" w:type="dxa"/>
        </w:tblCellMar>
        <w:tblLook w:val="0000"/>
      </w:tblPr>
      <w:tblGrid>
        <w:gridCol w:w="9497"/>
      </w:tblGrid>
      <w:tr w:rsidTr="004E00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001B" w:rsidP="004E001B">
            <w:pPr>
              <w:pStyle w:val="BodyText"/>
            </w:pPr>
            <w:r w:rsidRPr="004E001B">
              <w:t>This unit replaces and is equivalent to UETTDREL17A Operate asset inspection machinery and equipment near live electrical apparatus.</w:t>
            </w:r>
          </w:p>
        </w:tc>
      </w:tr>
    </w:tbl>
    <w:p w:rsidR="00000000" w:rsidRPr="004E001B" w:rsidP="004E001B">
      <w:pPr>
        <w:pStyle w:val="NoPaddingFontSize1"/>
      </w:pPr>
    </w:p>
    <w:p w:rsidR="00000000" w:rsidRPr="004E001B" w:rsidP="004E001B">
      <w:pPr>
        <w:pStyle w:val="AllowPageBreak"/>
      </w:pPr>
    </w:p>
    <w:p w:rsidR="00000000" w:rsidRPr="004E001B" w:rsidP="004E001B">
      <w:pPr>
        <w:pStyle w:val="Heading1"/>
      </w:pPr>
      <w:bookmarkStart w:id="10" w:name="O_1002980"/>
      <w:bookmarkEnd w:id="10"/>
      <w:r w:rsidRPr="004E001B">
        <w:t>Links</w:t>
      </w:r>
    </w:p>
    <w:p w:rsidR="00000000" w:rsidRPr="004E001B" w:rsidP="00D034B8">
      <w:pPr>
        <w:pStyle w:val="BodyText"/>
      </w:pPr>
      <w:r w:rsidRPr="004E001B">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1121A4">
        <w:rPr>
          <w:rStyle w:val="Hyperlink"/>
        </w:rPr>
        <w:t>https://vetnet.gov.au/Pages/TrainingDocs.aspx?q=229bace1-b7bc-4653-9300-dffb13ecfad7</w:t>
      </w:r>
      <w:r>
        <w:fldChar w:fldCharType="end"/>
      </w:r>
    </w:p>
    <w:p w:rsidR="00000000" w:rsidRPr="004E001B" w:rsidP="004E001B"/>
    <w:sectPr w:rsidSect="004E00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0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01B" w:rsidRPr="00D034B8" w:rsidP="00D034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0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4B8" w:rsidP="004E00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34B8" w:rsidP="004E001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034B8" w:rsidP="004E00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0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4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001B" w:rsidRPr="00D034B8" w:rsidP="00D034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0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4B8" w:rsidRPr="002D2AF8" w:rsidP="004E001B">
    <w:pPr>
      <w:pStyle w:val="Header"/>
      <w:framePr w:wrap="around"/>
    </w:pPr>
    <w:r>
      <w:fldChar w:fldCharType="begin"/>
    </w:r>
    <w:r>
      <w:instrText xml:space="preserve"> TITLE   \* MERGEFORMAT </w:instrText>
    </w:r>
    <w:r>
      <w:fldChar w:fldCharType="separate"/>
    </w:r>
    <w:r>
      <w:t>UETTDREL17 Operate asset inspection machinery and equipment near live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D034B8" w:rsidP="004E00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00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001B"/>
    <w:pPr>
      <w:spacing w:before="360" w:after="60"/>
      <w:outlineLvl w:val="0"/>
    </w:pPr>
    <w:rPr>
      <w:sz w:val="32"/>
    </w:rPr>
  </w:style>
  <w:style w:type="paragraph" w:styleId="Heading2">
    <w:name w:val="heading 2"/>
    <w:basedOn w:val="HeadingBase"/>
    <w:next w:val="BodyText"/>
    <w:link w:val="Heading2Char"/>
    <w:qFormat/>
    <w:rsid w:val="004E001B"/>
    <w:pPr>
      <w:keepLines/>
      <w:spacing w:before="240" w:after="120"/>
      <w:outlineLvl w:val="1"/>
    </w:pPr>
    <w:rPr>
      <w:sz w:val="28"/>
      <w:szCs w:val="40"/>
    </w:rPr>
  </w:style>
  <w:style w:type="paragraph" w:styleId="Heading3">
    <w:name w:val="heading 3"/>
    <w:basedOn w:val="HeadingBase"/>
    <w:next w:val="BodyText"/>
    <w:link w:val="Heading3Char"/>
    <w:qFormat/>
    <w:rsid w:val="004E001B"/>
    <w:pPr>
      <w:spacing w:before="180" w:after="120"/>
      <w:outlineLvl w:val="2"/>
    </w:pPr>
    <w:rPr>
      <w:spacing w:val="-10"/>
      <w:kern w:val="32"/>
    </w:rPr>
  </w:style>
  <w:style w:type="paragraph" w:styleId="Heading4">
    <w:name w:val="heading 4"/>
    <w:basedOn w:val="HeadingBase"/>
    <w:next w:val="BodyText"/>
    <w:link w:val="Heading4Char"/>
    <w:qFormat/>
    <w:rsid w:val="004E001B"/>
    <w:pPr>
      <w:spacing w:before="160" w:after="120"/>
      <w:outlineLvl w:val="3"/>
    </w:pPr>
    <w:rPr>
      <w:sz w:val="22"/>
    </w:rPr>
  </w:style>
  <w:style w:type="paragraph" w:styleId="Heading5">
    <w:name w:val="heading 5"/>
    <w:basedOn w:val="HeadingBase"/>
    <w:next w:val="Normal"/>
    <w:link w:val="Heading5Char"/>
    <w:qFormat/>
    <w:rsid w:val="004E001B"/>
    <w:pPr>
      <w:spacing w:before="80"/>
      <w:outlineLvl w:val="4"/>
    </w:pPr>
    <w:rPr>
      <w:color w:val="918585"/>
      <w:sz w:val="20"/>
    </w:rPr>
  </w:style>
  <w:style w:type="paragraph" w:styleId="Heading6">
    <w:name w:val="heading 6"/>
    <w:basedOn w:val="HeadingBase"/>
    <w:next w:val="Normal"/>
    <w:link w:val="Heading6Char"/>
    <w:qFormat/>
    <w:rsid w:val="004E001B"/>
    <w:pPr>
      <w:spacing w:before="60"/>
      <w:outlineLvl w:val="5"/>
    </w:pPr>
    <w:rPr>
      <w:color w:val="918585"/>
      <w:sz w:val="20"/>
    </w:rPr>
  </w:style>
  <w:style w:type="paragraph" w:styleId="Heading7">
    <w:name w:val="heading 7"/>
    <w:basedOn w:val="Normal"/>
    <w:next w:val="Normal"/>
    <w:link w:val="Heading7Char"/>
    <w:qFormat/>
    <w:rsid w:val="004E001B"/>
    <w:pPr>
      <w:ind w:left="720"/>
      <w:outlineLvl w:val="6"/>
    </w:pPr>
    <w:rPr>
      <w:i/>
    </w:rPr>
  </w:style>
  <w:style w:type="paragraph" w:styleId="Heading8">
    <w:name w:val="heading 8"/>
    <w:basedOn w:val="Normal"/>
    <w:next w:val="Normal"/>
    <w:link w:val="Heading8Char"/>
    <w:qFormat/>
    <w:rsid w:val="004E001B"/>
    <w:pPr>
      <w:ind w:left="720"/>
      <w:outlineLvl w:val="7"/>
    </w:pPr>
    <w:rPr>
      <w:i/>
    </w:rPr>
  </w:style>
  <w:style w:type="paragraph" w:styleId="Heading9">
    <w:name w:val="heading 9"/>
    <w:basedOn w:val="Normal"/>
    <w:next w:val="Normal"/>
    <w:link w:val="Heading9Char"/>
    <w:qFormat/>
    <w:rsid w:val="004E001B"/>
    <w:pPr>
      <w:ind w:left="720"/>
      <w:outlineLvl w:val="8"/>
    </w:pPr>
    <w:rPr>
      <w:i/>
    </w:rPr>
  </w:style>
  <w:style w:type="character" w:default="1" w:styleId="DefaultParagraphFont">
    <w:name w:val="Default Paragraph Font"/>
    <w:uiPriority w:val="1"/>
    <w:unhideWhenUsed/>
    <w:rsid w:val="004E00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001B"/>
  </w:style>
  <w:style w:type="character" w:customStyle="1" w:styleId="Heading1Char">
    <w:name w:val="Heading 1 Char"/>
    <w:basedOn w:val="DefaultParagraphFont"/>
    <w:link w:val="Heading1"/>
    <w:rsid w:val="004E001B"/>
    <w:rPr>
      <w:rFonts w:ascii="Times New Roman" w:eastAsia="Times New Roman" w:hAnsi="Times New Roman" w:cs="Times New Roman"/>
      <w:b/>
      <w:sz w:val="32"/>
      <w:szCs w:val="20"/>
      <w:lang w:eastAsia="en-US"/>
    </w:rPr>
  </w:style>
  <w:style w:type="paragraph" w:styleId="BodyText">
    <w:name w:val="Body Text"/>
    <w:basedOn w:val="Normal"/>
    <w:link w:val="BodyTextChar"/>
    <w:rsid w:val="004E00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001B"/>
    <w:rPr>
      <w:rFonts w:ascii="Times New Roman" w:eastAsia="Times New Roman" w:hAnsi="Times New Roman" w:cs="Times New Roman"/>
      <w:sz w:val="24"/>
      <w:lang w:eastAsia="en-US"/>
    </w:rPr>
  </w:style>
  <w:style w:type="character" w:customStyle="1" w:styleId="SpecialBold">
    <w:name w:val="Special Bold"/>
    <w:basedOn w:val="DefaultParagraphFont"/>
    <w:rsid w:val="004E001B"/>
    <w:rPr>
      <w:b/>
      <w:spacing w:val="0"/>
    </w:rPr>
  </w:style>
  <w:style w:type="paragraph" w:customStyle="1" w:styleId="SuperHeading">
    <w:name w:val="SuperHeading"/>
    <w:basedOn w:val="Normal"/>
    <w:rsid w:val="004E001B"/>
    <w:pPr>
      <w:spacing w:before="240" w:after="120"/>
      <w:outlineLvl w:val="0"/>
    </w:pPr>
    <w:rPr>
      <w:rFonts w:ascii="Times New Roman" w:hAnsi="Times New Roman"/>
      <w:b/>
      <w:sz w:val="32"/>
    </w:rPr>
  </w:style>
  <w:style w:type="paragraph" w:customStyle="1" w:styleId="AllowPageBreak">
    <w:name w:val="AllowPageBreak"/>
    <w:rsid w:val="004E001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E00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00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00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00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00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00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00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001B"/>
    <w:rPr>
      <w:rFonts w:ascii="Courier New" w:eastAsia="Times New Roman" w:hAnsi="Courier New" w:cs="Times New Roman"/>
      <w:i/>
      <w:szCs w:val="20"/>
      <w:lang w:eastAsia="en-US"/>
    </w:rPr>
  </w:style>
  <w:style w:type="paragraph" w:customStyle="1" w:styleId="HeadingBase">
    <w:name w:val="Heading Base"/>
    <w:rsid w:val="004E00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001B"/>
    <w:pPr>
      <w:tabs>
        <w:tab w:val="right" w:leader="dot" w:pos="9072"/>
      </w:tabs>
      <w:ind w:left="567"/>
    </w:pPr>
    <w:rPr>
      <w:szCs w:val="22"/>
    </w:rPr>
  </w:style>
  <w:style w:type="paragraph" w:customStyle="1" w:styleId="TOCBase">
    <w:name w:val="TOC Base"/>
    <w:rsid w:val="004E00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001B"/>
    <w:pPr>
      <w:tabs>
        <w:tab w:val="right" w:leader="dot" w:pos="9072"/>
      </w:tabs>
      <w:spacing w:before="40" w:after="40"/>
      <w:ind w:left="284"/>
    </w:pPr>
    <w:rPr>
      <w:rFonts w:ascii="Times New Roman" w:hAnsi="Times New Roman"/>
    </w:rPr>
  </w:style>
  <w:style w:type="paragraph" w:styleId="TOC1">
    <w:name w:val="toc 1"/>
    <w:basedOn w:val="TOCBase"/>
    <w:next w:val="Normal"/>
    <w:rsid w:val="004E00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00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001B"/>
    <w:rPr>
      <w:rFonts w:ascii="Times New Roman" w:eastAsia="Times New Roman" w:hAnsi="Times New Roman" w:cs="Times New Roman"/>
      <w:sz w:val="16"/>
      <w:lang w:eastAsia="en-US"/>
    </w:rPr>
  </w:style>
  <w:style w:type="paragraph" w:styleId="Title">
    <w:name w:val="Title"/>
    <w:basedOn w:val="HeadingBase"/>
    <w:link w:val="TitleChar"/>
    <w:qFormat/>
    <w:rsid w:val="004E001B"/>
    <w:pPr>
      <w:spacing w:before="5040"/>
      <w:jc w:val="center"/>
    </w:pPr>
    <w:rPr>
      <w:sz w:val="48"/>
      <w:szCs w:val="72"/>
      <w:lang w:val="en-US"/>
    </w:rPr>
  </w:style>
  <w:style w:type="character" w:customStyle="1" w:styleId="TitleChar">
    <w:name w:val="Title Char"/>
    <w:basedOn w:val="DefaultParagraphFont"/>
    <w:link w:val="Title"/>
    <w:rsid w:val="004E00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001B"/>
    <w:pPr>
      <w:tabs>
        <w:tab w:val="left" w:pos="3600"/>
        <w:tab w:val="left" w:pos="3958"/>
      </w:tabs>
    </w:pPr>
  </w:style>
  <w:style w:type="paragraph" w:styleId="List">
    <w:name w:val="List"/>
    <w:basedOn w:val="BodyText"/>
    <w:next w:val="BodyText"/>
    <w:rsid w:val="004E001B"/>
    <w:pPr>
      <w:tabs>
        <w:tab w:val="left" w:pos="340"/>
      </w:tabs>
      <w:spacing w:before="60" w:after="60"/>
      <w:ind w:left="340" w:hanging="340"/>
    </w:pPr>
  </w:style>
  <w:style w:type="paragraph" w:styleId="ListBullet">
    <w:name w:val="List Bullet"/>
    <w:basedOn w:val="List"/>
    <w:rsid w:val="004E001B"/>
    <w:pPr>
      <w:numPr>
        <w:numId w:val="10"/>
      </w:numPr>
      <w:tabs>
        <w:tab w:val="clear" w:pos="340"/>
      </w:tabs>
      <w:spacing w:before="40" w:after="40"/>
    </w:pPr>
  </w:style>
  <w:style w:type="paragraph" w:customStyle="1" w:styleId="Note">
    <w:name w:val="Note"/>
    <w:basedOn w:val="BodyText"/>
    <w:rsid w:val="004E00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001B"/>
    <w:pPr>
      <w:framePr w:wrap="auto" w:hAnchor="text" w:y="6049"/>
    </w:pPr>
    <w:rPr>
      <w:color w:val="000000"/>
      <w:sz w:val="40"/>
    </w:rPr>
  </w:style>
  <w:style w:type="paragraph" w:customStyle="1" w:styleId="TOCTitle">
    <w:name w:val="TOCTitle"/>
    <w:basedOn w:val="Heading1"/>
    <w:rsid w:val="004E001B"/>
    <w:pPr>
      <w:spacing w:after="240"/>
      <w:jc w:val="center"/>
      <w:outlineLvl w:val="9"/>
    </w:pPr>
    <w:rPr>
      <w:caps/>
    </w:rPr>
  </w:style>
  <w:style w:type="paragraph" w:customStyle="1" w:styleId="Version">
    <w:name w:val="Version"/>
    <w:rsid w:val="004E00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001B"/>
    <w:pPr>
      <w:numPr>
        <w:numId w:val="11"/>
      </w:numPr>
      <w:tabs>
        <w:tab w:val="clear" w:pos="680"/>
      </w:tabs>
    </w:pPr>
  </w:style>
  <w:style w:type="paragraph" w:styleId="Index1">
    <w:name w:val="index 1"/>
    <w:basedOn w:val="Normal"/>
    <w:next w:val="Normal"/>
    <w:semiHidden/>
    <w:rsid w:val="004E001B"/>
    <w:pPr>
      <w:keepNext w:val="0"/>
      <w:tabs>
        <w:tab w:val="right" w:pos="4176"/>
      </w:tabs>
      <w:ind w:left="198" w:hanging="198"/>
    </w:pPr>
    <w:rPr>
      <w:rFonts w:ascii="Garamond" w:hAnsi="Garamond"/>
    </w:rPr>
  </w:style>
  <w:style w:type="paragraph" w:styleId="IndexHeading">
    <w:name w:val="index heading"/>
    <w:basedOn w:val="Normal"/>
    <w:next w:val="Index1"/>
    <w:semiHidden/>
    <w:rsid w:val="004E001B"/>
    <w:pPr>
      <w:spacing w:before="120" w:after="120"/>
    </w:pPr>
    <w:rPr>
      <w:rFonts w:ascii="Arial" w:hAnsi="Arial"/>
      <w:b/>
      <w:color w:val="918585"/>
      <w:sz w:val="24"/>
    </w:rPr>
  </w:style>
  <w:style w:type="paragraph" w:styleId="Header">
    <w:name w:val="header"/>
    <w:basedOn w:val="Normal"/>
    <w:link w:val="HeaderChar"/>
    <w:rsid w:val="004E00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001B"/>
    <w:rPr>
      <w:rFonts w:ascii="Times New Roman" w:eastAsia="Times New Roman" w:hAnsi="Times New Roman" w:cs="Times New Roman"/>
      <w:sz w:val="16"/>
      <w:szCs w:val="20"/>
      <w:lang w:val="en-GB" w:eastAsia="en-US"/>
    </w:rPr>
  </w:style>
  <w:style w:type="paragraph" w:customStyle="1" w:styleId="Chapter">
    <w:name w:val="Chapter"/>
    <w:basedOn w:val="Normal"/>
    <w:rsid w:val="004E001B"/>
    <w:pPr>
      <w:spacing w:before="240"/>
    </w:pPr>
    <w:rPr>
      <w:rFonts w:ascii="Times New Roman" w:hAnsi="Times New Roman"/>
      <w:smallCaps/>
      <w:spacing w:val="80"/>
      <w:sz w:val="28"/>
    </w:rPr>
  </w:style>
  <w:style w:type="paragraph" w:customStyle="1" w:styleId="InChapter">
    <w:name w:val="InChapter"/>
    <w:basedOn w:val="Heading3"/>
    <w:rsid w:val="004E001B"/>
    <w:pPr>
      <w:spacing w:after="240"/>
      <w:outlineLvl w:val="9"/>
    </w:pPr>
    <w:rPr>
      <w:noProof/>
    </w:rPr>
  </w:style>
  <w:style w:type="paragraph" w:styleId="Index2">
    <w:name w:val="index 2"/>
    <w:basedOn w:val="Normal"/>
    <w:next w:val="Normal"/>
    <w:semiHidden/>
    <w:rsid w:val="004E001B"/>
    <w:pPr>
      <w:tabs>
        <w:tab w:val="right" w:pos="4176"/>
      </w:tabs>
      <w:ind w:left="568" w:hanging="284"/>
    </w:pPr>
    <w:rPr>
      <w:rFonts w:ascii="Garamond" w:hAnsi="Garamond"/>
    </w:rPr>
  </w:style>
  <w:style w:type="paragraph" w:customStyle="1" w:styleId="Byline">
    <w:name w:val="Byline"/>
    <w:rsid w:val="004E00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001B"/>
    <w:pPr>
      <w:tabs>
        <w:tab w:val="clear" w:pos="3600"/>
        <w:tab w:val="clear" w:pos="3958"/>
      </w:tabs>
      <w:jc w:val="right"/>
    </w:pPr>
  </w:style>
  <w:style w:type="character" w:styleId="Emphasis">
    <w:name w:val="Emphasis"/>
    <w:basedOn w:val="DefaultParagraphFont"/>
    <w:qFormat/>
    <w:rsid w:val="004E001B"/>
    <w:rPr>
      <w:i/>
    </w:rPr>
  </w:style>
  <w:style w:type="paragraph" w:styleId="Caption">
    <w:name w:val="caption"/>
    <w:basedOn w:val="BodyText"/>
    <w:next w:val="Normal"/>
    <w:qFormat/>
    <w:rsid w:val="004E001B"/>
    <w:pPr>
      <w:framePr w:w="2268" w:hSpace="181" w:vSpace="181" w:wrap="around" w:vAnchor="text" w:hAnchor="page" w:x="1135" w:y="285" w:anchorLock="1"/>
    </w:pPr>
    <w:rPr>
      <w:i/>
    </w:rPr>
  </w:style>
  <w:style w:type="paragraph" w:customStyle="1" w:styleId="MiniTOCTitle">
    <w:name w:val="MiniTOCTitle"/>
    <w:basedOn w:val="Heading4"/>
    <w:rsid w:val="004E001B"/>
    <w:pPr>
      <w:spacing w:before="240"/>
      <w:outlineLvl w:val="9"/>
    </w:pPr>
    <w:rPr>
      <w:noProof/>
      <w:sz w:val="24"/>
    </w:rPr>
  </w:style>
  <w:style w:type="paragraph" w:customStyle="1" w:styleId="MiniTOCItem">
    <w:name w:val="MiniTOCItem"/>
    <w:basedOn w:val="ListBullet"/>
    <w:rsid w:val="004E001B"/>
    <w:pPr>
      <w:numPr>
        <w:numId w:val="0"/>
      </w:numPr>
      <w:tabs>
        <w:tab w:val="right" w:leader="dot" w:pos="6521"/>
      </w:tabs>
      <w:spacing w:before="0" w:after="0"/>
    </w:pPr>
  </w:style>
  <w:style w:type="paragraph" w:customStyle="1" w:styleId="TOFTitle">
    <w:name w:val="TOFTitle"/>
    <w:basedOn w:val="TOCTitle"/>
    <w:rsid w:val="004E001B"/>
  </w:style>
  <w:style w:type="paragraph" w:styleId="TableofFigures">
    <w:name w:val="table of figures"/>
    <w:basedOn w:val="Normal"/>
    <w:next w:val="Normal"/>
    <w:semiHidden/>
    <w:rsid w:val="004E001B"/>
    <w:pPr>
      <w:tabs>
        <w:tab w:val="right" w:leader="dot" w:pos="9072"/>
      </w:tabs>
      <w:ind w:left="970" w:hanging="403"/>
    </w:pPr>
    <w:rPr>
      <w:rFonts w:ascii="Times New Roman" w:hAnsi="Times New Roman"/>
      <w:b/>
    </w:rPr>
  </w:style>
  <w:style w:type="paragraph" w:styleId="ListNumber">
    <w:name w:val="List Number"/>
    <w:basedOn w:val="List"/>
    <w:rsid w:val="004E001B"/>
    <w:pPr>
      <w:numPr>
        <w:numId w:val="13"/>
      </w:numPr>
      <w:tabs>
        <w:tab w:val="clear" w:pos="340"/>
      </w:tabs>
    </w:pPr>
  </w:style>
  <w:style w:type="character" w:customStyle="1" w:styleId="WingdingSymbols">
    <w:name w:val="Wingding Symbols"/>
    <w:rsid w:val="004E001B"/>
    <w:rPr>
      <w:rFonts w:ascii="Wingdings" w:hAnsi="Wingdings"/>
    </w:rPr>
  </w:style>
  <w:style w:type="paragraph" w:customStyle="1" w:styleId="TableHeading">
    <w:name w:val="Table Heading"/>
    <w:basedOn w:val="HeadingBase"/>
    <w:rsid w:val="004E001B"/>
    <w:pPr>
      <w:keepLines/>
      <w:pBdr>
        <w:bottom w:val="single" w:sz="6" w:space="1" w:color="918585"/>
      </w:pBdr>
      <w:spacing w:before="240"/>
    </w:pPr>
  </w:style>
  <w:style w:type="character" w:customStyle="1" w:styleId="HotSpot">
    <w:name w:val="HotSpot"/>
    <w:rsid w:val="004E001B"/>
    <w:rPr>
      <w:color w:val="0033CC"/>
      <w:u w:val="none"/>
    </w:rPr>
  </w:style>
  <w:style w:type="paragraph" w:customStyle="1" w:styleId="BodyTextRight">
    <w:name w:val="Body Text Right"/>
    <w:basedOn w:val="BodyText"/>
    <w:rsid w:val="004E001B"/>
    <w:pPr>
      <w:spacing w:before="0" w:after="0"/>
      <w:jc w:val="right"/>
    </w:pPr>
  </w:style>
  <w:style w:type="paragraph" w:styleId="Index3">
    <w:name w:val="index 3"/>
    <w:basedOn w:val="ListNumber2"/>
    <w:next w:val="Normal"/>
    <w:semiHidden/>
    <w:rsid w:val="004E001B"/>
    <w:pPr>
      <w:numPr>
        <w:numId w:val="0"/>
      </w:numPr>
      <w:tabs>
        <w:tab w:val="right" w:leader="dot" w:pos="4176"/>
      </w:tabs>
    </w:pPr>
  </w:style>
  <w:style w:type="paragraph" w:styleId="ListNumber2">
    <w:name w:val="List Number 2"/>
    <w:basedOn w:val="List2"/>
    <w:rsid w:val="004E001B"/>
    <w:pPr>
      <w:numPr>
        <w:numId w:val="8"/>
      </w:numPr>
      <w:tabs>
        <w:tab w:val="clear" w:pos="1060"/>
      </w:tabs>
    </w:pPr>
  </w:style>
  <w:style w:type="paragraph" w:customStyle="1" w:styleId="MarginNote">
    <w:name w:val="Margin Note"/>
    <w:basedOn w:val="BodyText"/>
    <w:rsid w:val="004E00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00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00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001B"/>
    <w:rPr>
      <w:sz w:val="32"/>
    </w:rPr>
  </w:style>
  <w:style w:type="paragraph" w:customStyle="1" w:styleId="HeadingProcedure">
    <w:name w:val="Heading Procedure"/>
    <w:basedOn w:val="HeadingBase"/>
    <w:next w:val="Normal"/>
    <w:rsid w:val="004E001B"/>
    <w:pPr>
      <w:tabs>
        <w:tab w:val="left" w:pos="0"/>
      </w:tabs>
      <w:spacing w:before="120" w:after="60"/>
    </w:pPr>
    <w:rPr>
      <w:i/>
      <w:color w:val="918585"/>
      <w:sz w:val="22"/>
    </w:rPr>
  </w:style>
  <w:style w:type="paragraph" w:customStyle="1" w:styleId="TableBodyText">
    <w:name w:val="Table Body Text"/>
    <w:basedOn w:val="BodyText"/>
    <w:rsid w:val="004E001B"/>
    <w:pPr>
      <w:spacing w:before="60" w:after="60"/>
    </w:pPr>
  </w:style>
  <w:style w:type="paragraph" w:styleId="ListContinue">
    <w:name w:val="List Continue"/>
    <w:basedOn w:val="List"/>
    <w:rsid w:val="004E001B"/>
    <w:pPr>
      <w:ind w:firstLine="0"/>
    </w:pPr>
  </w:style>
  <w:style w:type="paragraph" w:customStyle="1" w:styleId="ListNote">
    <w:name w:val="List Note"/>
    <w:basedOn w:val="List"/>
    <w:rsid w:val="004E001B"/>
    <w:pPr>
      <w:pBdr>
        <w:top w:val="single" w:sz="6" w:space="2" w:color="918585"/>
        <w:bottom w:val="single" w:sz="6" w:space="2" w:color="918585"/>
      </w:pBdr>
      <w:tabs>
        <w:tab w:val="left" w:pos="1021"/>
      </w:tabs>
      <w:ind w:firstLine="0"/>
    </w:pPr>
  </w:style>
  <w:style w:type="paragraph" w:customStyle="1" w:styleId="Warning">
    <w:name w:val="Warning"/>
    <w:basedOn w:val="BodyText"/>
    <w:rsid w:val="004E001B"/>
    <w:pPr>
      <w:shd w:val="clear" w:color="auto" w:fill="D9D9D9"/>
      <w:tabs>
        <w:tab w:val="left" w:pos="992"/>
      </w:tabs>
      <w:ind w:left="119" w:right="119"/>
    </w:pPr>
    <w:rPr>
      <w:sz w:val="20"/>
    </w:rPr>
  </w:style>
  <w:style w:type="paragraph" w:customStyle="1" w:styleId="MarginIcons">
    <w:name w:val="Margin Icons"/>
    <w:basedOn w:val="BodyText"/>
    <w:rsid w:val="004E00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001B"/>
    <w:rPr>
      <w:rFonts w:ascii="Courier New" w:hAnsi="Courier New"/>
    </w:rPr>
  </w:style>
  <w:style w:type="paragraph" w:customStyle="1" w:styleId="NoteBullet">
    <w:name w:val="Note Bullet"/>
    <w:basedOn w:val="Note"/>
    <w:rsid w:val="004E001B"/>
    <w:pPr>
      <w:tabs>
        <w:tab w:val="clear" w:pos="680"/>
      </w:tabs>
      <w:spacing w:before="60" w:after="60"/>
    </w:pPr>
  </w:style>
  <w:style w:type="paragraph" w:customStyle="1" w:styleId="SubHeading2">
    <w:name w:val="SubHeading2"/>
    <w:basedOn w:val="HeadingBase"/>
    <w:rsid w:val="004E001B"/>
    <w:pPr>
      <w:spacing w:before="240" w:after="60"/>
    </w:pPr>
    <w:rPr>
      <w:sz w:val="20"/>
    </w:rPr>
  </w:style>
  <w:style w:type="paragraph" w:customStyle="1" w:styleId="SubHeading1">
    <w:name w:val="SubHeading1"/>
    <w:basedOn w:val="HeadingBase"/>
    <w:rsid w:val="004E001B"/>
    <w:pPr>
      <w:spacing w:before="240" w:after="60"/>
    </w:pPr>
    <w:rPr>
      <w:color w:val="918585"/>
      <w:sz w:val="22"/>
    </w:rPr>
  </w:style>
  <w:style w:type="paragraph" w:customStyle="1" w:styleId="SideHeading">
    <w:name w:val="Side Heading"/>
    <w:basedOn w:val="HeadingBase"/>
    <w:rsid w:val="004E00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001B"/>
    <w:pPr>
      <w:numPr>
        <w:numId w:val="9"/>
      </w:numPr>
    </w:pPr>
  </w:style>
  <w:style w:type="paragraph" w:styleId="PlainText">
    <w:name w:val="Plain Text"/>
    <w:basedOn w:val="Normal"/>
    <w:link w:val="PlainTextChar"/>
    <w:rsid w:val="004E001B"/>
    <w:rPr>
      <w:sz w:val="20"/>
    </w:rPr>
  </w:style>
  <w:style w:type="character" w:customStyle="1" w:styleId="PlainTextChar">
    <w:name w:val="Plain Text Char"/>
    <w:basedOn w:val="DefaultParagraphFont"/>
    <w:link w:val="PlainText"/>
    <w:rsid w:val="004E001B"/>
    <w:rPr>
      <w:rFonts w:ascii="Courier New" w:eastAsia="Times New Roman" w:hAnsi="Courier New" w:cs="Times New Roman"/>
      <w:sz w:val="20"/>
      <w:szCs w:val="20"/>
      <w:lang w:eastAsia="en-US"/>
    </w:rPr>
  </w:style>
  <w:style w:type="character" w:customStyle="1" w:styleId="MenuOption">
    <w:name w:val="Menu Option"/>
    <w:basedOn w:val="DefaultParagraphFont"/>
    <w:rsid w:val="004E001B"/>
    <w:rPr>
      <w:b/>
      <w:smallCaps/>
    </w:rPr>
  </w:style>
  <w:style w:type="paragraph" w:customStyle="1" w:styleId="TableListNumber">
    <w:name w:val="Table List Number"/>
    <w:basedOn w:val="ListNumber"/>
    <w:rsid w:val="004E001B"/>
    <w:pPr>
      <w:numPr>
        <w:numId w:val="0"/>
      </w:numPr>
    </w:pPr>
  </w:style>
  <w:style w:type="paragraph" w:styleId="TOC4">
    <w:name w:val="toc 4"/>
    <w:basedOn w:val="TOCBase"/>
    <w:next w:val="Normal"/>
    <w:semiHidden/>
    <w:rsid w:val="004E001B"/>
    <w:pPr>
      <w:tabs>
        <w:tab w:val="right" w:leader="dot" w:pos="9071"/>
      </w:tabs>
      <w:ind w:left="1701"/>
    </w:pPr>
  </w:style>
  <w:style w:type="paragraph" w:customStyle="1" w:styleId="ListAlpha">
    <w:name w:val="List Alpha"/>
    <w:basedOn w:val="List"/>
    <w:rsid w:val="004E001B"/>
    <w:pPr>
      <w:numPr>
        <w:numId w:val="7"/>
      </w:numPr>
    </w:pPr>
  </w:style>
  <w:style w:type="paragraph" w:customStyle="1" w:styleId="ListAlpha2">
    <w:name w:val="List Alpha 2"/>
    <w:basedOn w:val="List2"/>
    <w:rsid w:val="004E001B"/>
    <w:pPr>
      <w:numPr>
        <w:numId w:val="6"/>
      </w:numPr>
    </w:pPr>
  </w:style>
  <w:style w:type="paragraph" w:styleId="List2">
    <w:name w:val="List 2"/>
    <w:basedOn w:val="BodyText"/>
    <w:rsid w:val="004E001B"/>
    <w:pPr>
      <w:tabs>
        <w:tab w:val="left" w:pos="680"/>
      </w:tabs>
      <w:spacing w:before="60" w:after="60"/>
      <w:ind w:left="680" w:hanging="340"/>
    </w:pPr>
  </w:style>
  <w:style w:type="paragraph" w:styleId="List3">
    <w:name w:val="List 3"/>
    <w:basedOn w:val="BodyText"/>
    <w:rsid w:val="004E001B"/>
    <w:pPr>
      <w:tabs>
        <w:tab w:val="left" w:pos="1021"/>
      </w:tabs>
      <w:spacing w:before="60" w:after="60"/>
      <w:ind w:left="1020" w:hanging="340"/>
    </w:pPr>
  </w:style>
  <w:style w:type="paragraph" w:styleId="List4">
    <w:name w:val="List 4"/>
    <w:basedOn w:val="BodyText"/>
    <w:rsid w:val="004E001B"/>
    <w:pPr>
      <w:tabs>
        <w:tab w:val="left" w:pos="1361"/>
      </w:tabs>
      <w:spacing w:before="60" w:after="60"/>
      <w:ind w:left="1361" w:hanging="340"/>
    </w:pPr>
  </w:style>
  <w:style w:type="paragraph" w:styleId="List5">
    <w:name w:val="List 5"/>
    <w:basedOn w:val="BodyText"/>
    <w:rsid w:val="004E001B"/>
    <w:pPr>
      <w:tabs>
        <w:tab w:val="left" w:pos="1701"/>
      </w:tabs>
      <w:spacing w:before="60" w:after="60"/>
      <w:ind w:left="1701" w:hanging="340"/>
    </w:pPr>
  </w:style>
  <w:style w:type="paragraph" w:styleId="ListBullet3">
    <w:name w:val="List Bullet 3"/>
    <w:basedOn w:val="List3"/>
    <w:rsid w:val="004E001B"/>
    <w:pPr>
      <w:numPr>
        <w:numId w:val="12"/>
      </w:numPr>
      <w:tabs>
        <w:tab w:val="clear" w:pos="1021"/>
      </w:tabs>
      <w:ind w:left="1037" w:hanging="357"/>
    </w:pPr>
  </w:style>
  <w:style w:type="paragraph" w:styleId="ListBullet4">
    <w:name w:val="List Bullet 4"/>
    <w:basedOn w:val="List4"/>
    <w:rsid w:val="004E001B"/>
    <w:pPr>
      <w:numPr>
        <w:numId w:val="1"/>
      </w:numPr>
      <w:tabs>
        <w:tab w:val="clear" w:pos="1361"/>
      </w:tabs>
    </w:pPr>
  </w:style>
  <w:style w:type="paragraph" w:styleId="ListBullet5">
    <w:name w:val="List Bullet 5"/>
    <w:basedOn w:val="List5"/>
    <w:rsid w:val="004E001B"/>
    <w:pPr>
      <w:numPr>
        <w:numId w:val="2"/>
      </w:numPr>
    </w:pPr>
  </w:style>
  <w:style w:type="paragraph" w:styleId="ListContinue2">
    <w:name w:val="List Continue 2"/>
    <w:basedOn w:val="List2"/>
    <w:rsid w:val="004E001B"/>
    <w:pPr>
      <w:ind w:firstLine="0"/>
    </w:pPr>
  </w:style>
  <w:style w:type="paragraph" w:styleId="ListContinue3">
    <w:name w:val="List Continue 3"/>
    <w:basedOn w:val="List3"/>
    <w:rsid w:val="004E001B"/>
    <w:pPr>
      <w:ind w:left="1021" w:firstLine="0"/>
    </w:pPr>
  </w:style>
  <w:style w:type="paragraph" w:styleId="ListContinue4">
    <w:name w:val="List Continue 4"/>
    <w:basedOn w:val="List4"/>
    <w:rsid w:val="004E001B"/>
    <w:pPr>
      <w:ind w:firstLine="0"/>
    </w:pPr>
  </w:style>
  <w:style w:type="paragraph" w:styleId="ListContinue5">
    <w:name w:val="List Continue 5"/>
    <w:basedOn w:val="List5"/>
    <w:rsid w:val="004E001B"/>
    <w:pPr>
      <w:ind w:firstLine="0"/>
    </w:pPr>
  </w:style>
  <w:style w:type="paragraph" w:styleId="ListNumber3">
    <w:name w:val="List Number 3"/>
    <w:basedOn w:val="List3"/>
    <w:rsid w:val="004E001B"/>
    <w:pPr>
      <w:numPr>
        <w:numId w:val="3"/>
      </w:numPr>
    </w:pPr>
  </w:style>
  <w:style w:type="paragraph" w:styleId="ListNumber4">
    <w:name w:val="List Number 4"/>
    <w:basedOn w:val="List4"/>
    <w:rsid w:val="004E001B"/>
    <w:pPr>
      <w:numPr>
        <w:numId w:val="4"/>
      </w:numPr>
    </w:pPr>
  </w:style>
  <w:style w:type="paragraph" w:styleId="ListNumber5">
    <w:name w:val="List Number 5"/>
    <w:basedOn w:val="List5"/>
    <w:rsid w:val="004E001B"/>
    <w:pPr>
      <w:numPr>
        <w:numId w:val="5"/>
      </w:numPr>
    </w:pPr>
  </w:style>
  <w:style w:type="paragraph" w:styleId="BlockText">
    <w:name w:val="Block Text"/>
    <w:basedOn w:val="Normal"/>
    <w:rsid w:val="004E001B"/>
    <w:pPr>
      <w:spacing w:after="120"/>
      <w:ind w:left="1440" w:right="1440"/>
    </w:pPr>
  </w:style>
  <w:style w:type="character" w:customStyle="1" w:styleId="Subscript">
    <w:name w:val="Subscript"/>
    <w:basedOn w:val="DefaultParagraphFont"/>
    <w:rsid w:val="004E001B"/>
    <w:rPr>
      <w:sz w:val="16"/>
      <w:vertAlign w:val="subscript"/>
    </w:rPr>
  </w:style>
  <w:style w:type="character" w:customStyle="1" w:styleId="Superscript">
    <w:name w:val="Superscript"/>
    <w:basedOn w:val="DefaultParagraphFont"/>
    <w:rsid w:val="004E001B"/>
    <w:rPr>
      <w:sz w:val="16"/>
      <w:vertAlign w:val="superscript"/>
    </w:rPr>
  </w:style>
  <w:style w:type="character" w:customStyle="1" w:styleId="Symbols">
    <w:name w:val="Symbols"/>
    <w:basedOn w:val="DefaultParagraphFont"/>
    <w:rsid w:val="004E001B"/>
    <w:rPr>
      <w:rFonts w:ascii="Symbol" w:hAnsi="Symbol"/>
    </w:rPr>
  </w:style>
  <w:style w:type="character" w:customStyle="1" w:styleId="MenuOptions">
    <w:name w:val="Menu Options"/>
    <w:basedOn w:val="DefaultParagraphFont"/>
    <w:rsid w:val="004E001B"/>
    <w:rPr>
      <w:rFonts w:ascii="Arial Narrow" w:hAnsi="Arial Narrow"/>
      <w:smallCaps/>
    </w:rPr>
  </w:style>
  <w:style w:type="character" w:customStyle="1" w:styleId="Buttons">
    <w:name w:val="Buttons"/>
    <w:basedOn w:val="DefaultParagraphFont"/>
    <w:rsid w:val="004E001B"/>
    <w:rPr>
      <w:b/>
    </w:rPr>
  </w:style>
  <w:style w:type="character" w:customStyle="1" w:styleId="Underlined">
    <w:name w:val="Underlined"/>
    <w:basedOn w:val="DefaultParagraphFont"/>
    <w:rsid w:val="004E001B"/>
    <w:rPr>
      <w:u w:val="single"/>
    </w:rPr>
  </w:style>
  <w:style w:type="paragraph" w:customStyle="1" w:styleId="TableBodyTextRight">
    <w:name w:val="Table Body Text Right"/>
    <w:basedOn w:val="TableBodyText"/>
    <w:rsid w:val="004E001B"/>
    <w:pPr>
      <w:widowControl w:val="0"/>
      <w:autoSpaceDE w:val="0"/>
      <w:autoSpaceDN w:val="0"/>
      <w:adjustRightInd w:val="0"/>
      <w:jc w:val="right"/>
    </w:pPr>
    <w:rPr>
      <w:rFonts w:cs="Arial"/>
      <w:szCs w:val="18"/>
    </w:rPr>
  </w:style>
  <w:style w:type="paragraph" w:customStyle="1" w:styleId="CopyrightText">
    <w:name w:val="Copyright Text"/>
    <w:basedOn w:val="BodyText"/>
    <w:rsid w:val="004E001B"/>
    <w:rPr>
      <w:sz w:val="18"/>
    </w:rPr>
  </w:style>
  <w:style w:type="paragraph" w:customStyle="1" w:styleId="BodySmallRight">
    <w:name w:val="Body Small Right"/>
    <w:basedOn w:val="BodyTextRight"/>
    <w:rsid w:val="004E001B"/>
    <w:rPr>
      <w:sz w:val="18"/>
      <w:szCs w:val="18"/>
    </w:rPr>
  </w:style>
  <w:style w:type="paragraph" w:customStyle="1" w:styleId="MarginEdition">
    <w:name w:val="Margin Edition"/>
    <w:basedOn w:val="MarginNote"/>
    <w:rsid w:val="004E001B"/>
    <w:pPr>
      <w:spacing w:before="0" w:after="0"/>
    </w:pPr>
    <w:rPr>
      <w:rFonts w:ascii="Times New Roman" w:hAnsi="Times New Roman"/>
      <w:color w:val="999999"/>
    </w:rPr>
  </w:style>
  <w:style w:type="paragraph" w:customStyle="1" w:styleId="Spacer">
    <w:name w:val="Spacer"/>
    <w:basedOn w:val="Normal"/>
    <w:rsid w:val="004E001B"/>
    <w:rPr>
      <w:sz w:val="2"/>
      <w:szCs w:val="2"/>
    </w:rPr>
  </w:style>
  <w:style w:type="character" w:customStyle="1" w:styleId="Small">
    <w:name w:val="Small"/>
    <w:basedOn w:val="DefaultParagraphFont"/>
    <w:rsid w:val="004E001B"/>
    <w:rPr>
      <w:sz w:val="16"/>
    </w:rPr>
  </w:style>
  <w:style w:type="paragraph" w:customStyle="1" w:styleId="WideTable">
    <w:name w:val="Wide Table"/>
    <w:basedOn w:val="Normal"/>
    <w:rsid w:val="004E001B"/>
    <w:pPr>
      <w:ind w:left="-1418"/>
    </w:pPr>
    <w:rPr>
      <w:sz w:val="2"/>
      <w:szCs w:val="2"/>
    </w:rPr>
  </w:style>
  <w:style w:type="character" w:styleId="PageNumber">
    <w:name w:val="page number"/>
    <w:basedOn w:val="DefaultParagraphFont"/>
    <w:rsid w:val="004E001B"/>
  </w:style>
  <w:style w:type="paragraph" w:styleId="Quote">
    <w:name w:val="Quote"/>
    <w:basedOn w:val="Heading1"/>
    <w:link w:val="QuoteChar"/>
    <w:qFormat/>
    <w:rsid w:val="004E001B"/>
    <w:rPr>
      <w:b w:val="0"/>
      <w:sz w:val="72"/>
      <w:szCs w:val="72"/>
      <w:lang w:val="en-NZ"/>
    </w:rPr>
  </w:style>
  <w:style w:type="character" w:customStyle="1" w:styleId="QuoteChar">
    <w:name w:val="Quote Char"/>
    <w:basedOn w:val="DefaultParagraphFont"/>
    <w:link w:val="Quote"/>
    <w:rsid w:val="004E00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001B"/>
    <w:pPr>
      <w:pageBreakBefore/>
    </w:pPr>
  </w:style>
  <w:style w:type="paragraph" w:customStyle="1" w:styleId="Border">
    <w:name w:val="Border"/>
    <w:basedOn w:val="Normal"/>
    <w:qFormat/>
    <w:rsid w:val="004E00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001B"/>
    <w:rPr>
      <w:b/>
      <w:bCs/>
      <w:i/>
      <w:iCs/>
      <w:color w:val="auto"/>
    </w:rPr>
  </w:style>
  <w:style w:type="paragraph" w:styleId="IntenseQuote">
    <w:name w:val="Intense Quote"/>
    <w:basedOn w:val="Normal"/>
    <w:next w:val="Normal"/>
    <w:link w:val="IntenseQuoteChar"/>
    <w:uiPriority w:val="30"/>
    <w:qFormat/>
    <w:rsid w:val="004E00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00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001B"/>
    <w:rPr>
      <w:smallCaps/>
      <w:color w:val="auto"/>
      <w:u w:val="single"/>
    </w:rPr>
  </w:style>
  <w:style w:type="character" w:styleId="IntenseReference">
    <w:name w:val="Intense Reference"/>
    <w:basedOn w:val="DefaultParagraphFont"/>
    <w:uiPriority w:val="32"/>
    <w:qFormat/>
    <w:rsid w:val="004E001B"/>
    <w:rPr>
      <w:b/>
      <w:bCs/>
      <w:smallCaps/>
      <w:color w:val="auto"/>
      <w:spacing w:val="5"/>
      <w:u w:val="single"/>
    </w:rPr>
  </w:style>
  <w:style w:type="paragraph" w:customStyle="1" w:styleId="2ColumnHeading">
    <w:name w:val="2Column Heading"/>
    <w:basedOn w:val="BodyText"/>
    <w:qFormat/>
    <w:rsid w:val="004E001B"/>
    <w:pPr>
      <w:spacing w:after="60"/>
      <w:ind w:left="-2268"/>
    </w:pPr>
    <w:rPr>
      <w:b/>
    </w:rPr>
  </w:style>
  <w:style w:type="paragraph" w:customStyle="1" w:styleId="Heading1TOC">
    <w:name w:val="Heading1 TOC"/>
    <w:basedOn w:val="Normal"/>
    <w:qFormat/>
    <w:rsid w:val="004E001B"/>
    <w:pPr>
      <w:spacing w:before="240" w:after="120"/>
    </w:pPr>
    <w:rPr>
      <w:rFonts w:ascii="Times New Roman" w:hAnsi="Times New Roman"/>
      <w:b/>
      <w:sz w:val="32"/>
    </w:rPr>
  </w:style>
  <w:style w:type="paragraph" w:customStyle="1" w:styleId="Heading2TOC">
    <w:name w:val="Heading2 TOC"/>
    <w:basedOn w:val="Normal"/>
    <w:qFormat/>
    <w:rsid w:val="004E001B"/>
    <w:pPr>
      <w:spacing w:before="240" w:after="60"/>
    </w:pPr>
    <w:rPr>
      <w:rFonts w:ascii="Times New Roman" w:hAnsi="Times New Roman"/>
      <w:b/>
      <w:sz w:val="28"/>
    </w:rPr>
  </w:style>
  <w:style w:type="character" w:customStyle="1" w:styleId="Underline">
    <w:name w:val="Underline"/>
    <w:basedOn w:val="DefaultParagraphFont"/>
    <w:qFormat/>
    <w:rsid w:val="004E001B"/>
    <w:rPr>
      <w:u w:val="single"/>
    </w:rPr>
  </w:style>
  <w:style w:type="character" w:customStyle="1" w:styleId="BoldandItalics">
    <w:name w:val="Bold and Italics"/>
    <w:qFormat/>
    <w:rsid w:val="004E001B"/>
    <w:rPr>
      <w:b/>
      <w:i/>
      <w:u w:val="none"/>
    </w:rPr>
  </w:style>
  <w:style w:type="paragraph" w:styleId="BalloonText">
    <w:name w:val="Balloon Text"/>
    <w:basedOn w:val="Normal"/>
    <w:link w:val="BalloonTextChar"/>
    <w:rsid w:val="004E001B"/>
    <w:rPr>
      <w:rFonts w:ascii="Tahoma" w:hAnsi="Tahoma" w:cs="Tahoma"/>
      <w:sz w:val="16"/>
      <w:szCs w:val="16"/>
    </w:rPr>
  </w:style>
  <w:style w:type="character" w:customStyle="1" w:styleId="BalloonTextChar">
    <w:name w:val="Balloon Text Char"/>
    <w:basedOn w:val="DefaultParagraphFont"/>
    <w:link w:val="BalloonText"/>
    <w:rsid w:val="004E00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00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00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001B"/>
    <w:rPr>
      <w:b/>
      <w:color w:val="660033"/>
      <w:spacing w:val="0"/>
    </w:rPr>
  </w:style>
  <w:style w:type="paragraph" w:customStyle="1" w:styleId="Nameditemlist">
    <w:name w:val="Named item list"/>
    <w:basedOn w:val="BodyText"/>
    <w:qFormat/>
    <w:rsid w:val="004E001B"/>
    <w:pPr>
      <w:tabs>
        <w:tab w:val="left" w:pos="2835"/>
      </w:tabs>
      <w:ind w:left="2835" w:hanging="2835"/>
    </w:pPr>
  </w:style>
  <w:style w:type="paragraph" w:customStyle="1" w:styleId="BodyTextnopadding">
    <w:name w:val="Body Text no padding"/>
    <w:basedOn w:val="BodyText"/>
    <w:qFormat/>
    <w:rsid w:val="004E001B"/>
    <w:pPr>
      <w:spacing w:before="0" w:after="0"/>
    </w:pPr>
  </w:style>
  <w:style w:type="paragraph" w:customStyle="1" w:styleId="BodyTextBold">
    <w:name w:val="Body Text Bold"/>
    <w:basedOn w:val="BodyText"/>
    <w:qFormat/>
    <w:rsid w:val="004E001B"/>
    <w:rPr>
      <w:b/>
    </w:rPr>
  </w:style>
  <w:style w:type="character" w:styleId="Hyperlink">
    <w:name w:val="Hyperlink"/>
    <w:basedOn w:val="DefaultParagraphFont"/>
    <w:uiPriority w:val="99"/>
    <w:unhideWhenUsed/>
    <w:rsid w:val="00D034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1018</Words>
  <Characters>6507</Characters>
  <Application>Microsoft Office Word</Application>
  <DocSecurity>0</DocSecurity>
  <Lines>282</Lines>
  <Paragraphs>121</Paragraphs>
  <ScaleCrop>false</ScaleCrop>
  <Company>Author-it Software Corporation Ltd.</Company>
  <LinksUpToDate>false</LinksUpToDate>
  <CharactersWithSpaces>7404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UETTDREL17 Operate asset inspection machinery and equipment near live electrical apparatus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2021-04-20T06:36:00Z</dcterms:created>
  <dcterms:modified xsi:type="dcterms:W3CDTF">2021-04-20T06:36:00Z</dcterms:modified>
</cp:coreProperties>
</file>