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0A4" w:rsidP="00A330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UETTDREL16 Working safely near live electrical apparatus</w:t>
      </w:r>
      <w:r>
        <w:fldChar w:fldCharType="end"/>
      </w:r>
    </w:p>
    <w:p w:rsidR="00A330A4" w:rsidP="00A330A4">
      <w:pPr>
        <w:pStyle w:val="Version"/>
        <w:sectPr w:rsidSect="00173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E70" w:rsidP="00173E70">
      <w:pPr>
        <w:pStyle w:val="SuperHeading"/>
      </w:pPr>
      <w:r w:rsidRPr="00173E70">
        <w:t>Assessment Requirements for UETTDREL16 Working safely near live electrical apparatus</w:t>
      </w:r>
    </w:p>
    <w:p w:rsidR="00000000" w:rsidRPr="00173E70" w:rsidP="00173E70">
      <w:pPr>
        <w:pStyle w:val="Heading1"/>
      </w:pPr>
      <w:bookmarkStart w:id="1" w:name="O_1002956"/>
      <w:bookmarkEnd w:id="1"/>
      <w:r w:rsidRPr="00173E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70" w:rsidP="00173E70">
            <w:pPr>
              <w:pStyle w:val="BodyText"/>
            </w:pPr>
            <w:r w:rsidRPr="00173E7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73E70" w:rsidP="00173E70">
      <w:pPr>
        <w:pStyle w:val="NoPaddingFontSize1"/>
      </w:pPr>
    </w:p>
    <w:p w:rsidR="00000000" w:rsidRPr="00173E70" w:rsidP="00173E70">
      <w:pPr>
        <w:pStyle w:val="AllowPageBreak"/>
      </w:pPr>
    </w:p>
    <w:p w:rsidR="00000000" w:rsidRPr="00173E70" w:rsidP="00173E70">
      <w:pPr>
        <w:pStyle w:val="Heading1"/>
      </w:pPr>
      <w:bookmarkStart w:id="2" w:name="O_1002957"/>
      <w:bookmarkEnd w:id="2"/>
      <w:r w:rsidRPr="00173E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70">
            <w:pPr>
              <w:pStyle w:val="BodyText"/>
              <w:rPr>
                <w:lang w:val="en-NZ"/>
              </w:rPr>
            </w:pPr>
            <w:r w:rsidRPr="00173E70">
              <w:t>Evidence required to demonstrate competence in this unit must be relevant to a</w:t>
            </w:r>
            <w:r w:rsidRPr="00173E70">
              <w:t xml:space="preserve">nd satisfy all of the requirements of the elements and performance criteria on at least two separate occasions and include:  </w:t>
            </w:r>
          </w:p>
        </w:tc>
      </w:tr>
      <w:tr w:rsidTr="00173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70" w:rsidP="00173E70">
            <w:pPr>
              <w:pStyle w:val="ListBullet"/>
            </w:pPr>
            <w:r w:rsidRPr="00173E70">
              <w:t>applying relevant work health and safety (WHS)/occupational health and safety (OHS) requirements, including the use of risk cont</w:t>
            </w:r>
            <w:r w:rsidRPr="00173E70">
              <w:t xml:space="preserve">rol measures </w:t>
            </w:r>
          </w:p>
          <w:p w:rsidR="00000000" w:rsidRPr="00173E70" w:rsidP="00173E70">
            <w:pPr>
              <w:pStyle w:val="ListBullet"/>
            </w:pPr>
            <w:r w:rsidRPr="00173E70">
              <w:t>applying sustainable energy principles and practices</w:t>
            </w:r>
          </w:p>
          <w:p w:rsidR="00000000" w:rsidRPr="00173E70" w:rsidP="00173E70">
            <w:pPr>
              <w:pStyle w:val="ListBullet"/>
            </w:pPr>
            <w:r w:rsidRPr="00173E70">
              <w:t>performing all of the following:</w:t>
            </w:r>
          </w:p>
          <w:p w:rsidR="00000000" w:rsidRPr="00173E70" w:rsidP="00173E70">
            <w:pPr>
              <w:pStyle w:val="ListBullet2"/>
            </w:pPr>
            <w:r w:rsidRPr="00173E70">
              <w:t>confirming safe working zone for safe work and access near live electrical apparatus</w:t>
            </w:r>
          </w:p>
          <w:p w:rsidR="00000000" w:rsidRPr="00173E70" w:rsidP="00173E70">
            <w:pPr>
              <w:pStyle w:val="ListBullet2"/>
            </w:pPr>
            <w:r w:rsidRPr="00173E70">
              <w:t>identifying relevant technical standards –</w:t>
            </w:r>
            <w:r w:rsidRPr="00173E70">
              <w:t xml:space="preserve"> acts, regulations and codes/guidelines</w:t>
            </w:r>
          </w:p>
          <w:p w:rsidR="00000000" w:rsidRPr="00173E70" w:rsidP="00173E70">
            <w:pPr>
              <w:pStyle w:val="ListBullet2"/>
            </w:pPr>
            <w:r w:rsidRPr="00173E70">
              <w:t>identifying established (enterprise) procedures</w:t>
            </w:r>
          </w:p>
          <w:p w:rsidR="00000000" w:rsidRPr="00173E70" w:rsidP="00173E70">
            <w:pPr>
              <w:pStyle w:val="ListBullet"/>
            </w:pPr>
            <w:r w:rsidRPr="00173E70">
              <w:t>performing all of the following:</w:t>
            </w:r>
          </w:p>
          <w:p w:rsidR="00000000" w:rsidRPr="00173E70" w:rsidP="00173E70">
            <w:pPr>
              <w:pStyle w:val="ListBullet2"/>
            </w:pPr>
            <w:r w:rsidRPr="00173E70">
              <w:t>confirming principles of electricity, three phase power system, electric shock and resuscitation, and power systems</w:t>
            </w:r>
          </w:p>
          <w:p w:rsidR="00000000" w:rsidRPr="00173E70" w:rsidP="00173E70">
            <w:pPr>
              <w:pStyle w:val="ListBullet2"/>
            </w:pPr>
            <w:r w:rsidRPr="00173E70">
              <w:t>recognising of ae</w:t>
            </w:r>
            <w:r w:rsidRPr="00173E70">
              <w:t>rial voltage systems</w:t>
            </w:r>
          </w:p>
          <w:p w:rsidR="00000000" w:rsidRPr="00173E70" w:rsidP="00173E70">
            <w:pPr>
              <w:pStyle w:val="ListBullet2"/>
            </w:pPr>
            <w:r w:rsidRPr="00173E70">
              <w:t>identifying of low voltage (LV) aerial circuits</w:t>
            </w:r>
          </w:p>
          <w:p w:rsidR="00000000" w:rsidRPr="00173E70" w:rsidP="00173E70">
            <w:pPr>
              <w:pStyle w:val="ListBullet2"/>
            </w:pPr>
            <w:r w:rsidRPr="00173E70">
              <w:t>identifying high voltage (HV)</w:t>
            </w:r>
          </w:p>
          <w:p w:rsidR="00000000" w:rsidRPr="00173E70" w:rsidP="00173E70">
            <w:pPr>
              <w:pStyle w:val="ListBullet"/>
            </w:pPr>
            <w:r w:rsidRPr="00173E70">
              <w:t>demonstrating all of the following:</w:t>
            </w:r>
          </w:p>
          <w:p w:rsidR="00000000" w:rsidRPr="00173E70" w:rsidP="00173E70">
            <w:pPr>
              <w:pStyle w:val="ListBullet2"/>
            </w:pPr>
            <w:r w:rsidRPr="00173E70">
              <w:t>procedures in the event of an incident</w:t>
            </w:r>
          </w:p>
          <w:p w:rsidR="00000000" w:rsidRPr="00173E70" w:rsidP="00173E70">
            <w:pPr>
              <w:pStyle w:val="ListBullet2"/>
            </w:pPr>
            <w:r w:rsidRPr="00173E70">
              <w:t>events constituting an incident</w:t>
            </w:r>
          </w:p>
          <w:p w:rsidR="00000000" w:rsidRPr="00173E70" w:rsidP="00173E70">
            <w:pPr>
              <w:pStyle w:val="ListBullet2"/>
            </w:pPr>
            <w:r w:rsidRPr="00173E70">
              <w:t>procedures for responding to incidents</w:t>
            </w:r>
          </w:p>
          <w:p w:rsidR="00000000" w:rsidRPr="00173E70" w:rsidP="00173E70">
            <w:pPr>
              <w:pStyle w:val="ListBullet2"/>
            </w:pPr>
            <w:r w:rsidRPr="00173E70">
              <w:t>hazard an</w:t>
            </w:r>
            <w:r w:rsidRPr="00173E70">
              <w:t>d risk assessment procedure</w:t>
            </w:r>
          </w:p>
          <w:p w:rsidR="00000000" w:rsidRPr="00173E70" w:rsidP="00173E70">
            <w:pPr>
              <w:pStyle w:val="ListBullet2"/>
            </w:pPr>
            <w:r w:rsidRPr="00173E70">
              <w:t>conduct worksite hazard assessment</w:t>
            </w:r>
          </w:p>
          <w:p w:rsidR="00000000" w:rsidRPr="00173E70" w:rsidP="00173E70">
            <w:pPr>
              <w:pStyle w:val="ListBullet2"/>
            </w:pPr>
            <w:r w:rsidRPr="00173E70">
              <w:t>confirmation of essential components of hazard assessment checks</w:t>
            </w:r>
          </w:p>
          <w:p w:rsidR="00000000" w:rsidRPr="00173E70" w:rsidP="00173E70">
            <w:pPr>
              <w:pStyle w:val="ListBullet2"/>
            </w:pPr>
            <w:r w:rsidRPr="00173E70">
              <w:t>applying hazard identification in electrical work</w:t>
            </w:r>
          </w:p>
          <w:p w:rsidR="00000000" w:rsidRPr="00173E70" w:rsidP="00173E70">
            <w:pPr>
              <w:pStyle w:val="ListBullet2"/>
            </w:pPr>
            <w:r w:rsidRPr="00173E70">
              <w:t>confirmation of the basic safety principles for work on electrical works</w:t>
            </w:r>
          </w:p>
          <w:p w:rsidR="00000000" w:rsidRPr="00173E70" w:rsidP="00173E70">
            <w:pPr>
              <w:pStyle w:val="ListBullet2"/>
            </w:pPr>
            <w:r w:rsidRPr="00173E70">
              <w:t>hazard identification and risk assessment</w:t>
            </w:r>
          </w:p>
          <w:p w:rsidR="00000000" w:rsidRPr="00173E70" w:rsidP="00173E70">
            <w:pPr>
              <w:pStyle w:val="ListBullet2"/>
            </w:pPr>
            <w:r w:rsidRPr="00173E70">
              <w:t>hazard control</w:t>
            </w:r>
          </w:p>
          <w:p w:rsidR="00000000" w:rsidRPr="00173E70" w:rsidP="00173E70">
            <w:pPr>
              <w:pStyle w:val="ListBullet2"/>
            </w:pPr>
            <w:r w:rsidRPr="00173E70">
              <w:t>risk assessment and management control</w:t>
            </w:r>
          </w:p>
          <w:p w:rsidR="00000000" w:rsidRPr="00173E70" w:rsidP="00173E70">
            <w:pPr>
              <w:pStyle w:val="ListBullet2"/>
            </w:pPr>
            <w:r w:rsidRPr="00173E70">
              <w:t xml:space="preserve">the hierarchy of controls, including evaluation, worksite hazard and risk assessment checklist, pre-job hazard assessment check (HAC) items, planned inspection </w:t>
            </w:r>
            <w:r w:rsidRPr="00173E70">
              <w:t xml:space="preserve">and </w:t>
            </w:r>
            <w:r w:rsidRPr="00173E70">
              <w:t>pre-work hazard risk assessment form</w:t>
            </w:r>
          </w:p>
          <w:p w:rsidR="00000000" w:rsidRPr="00173E70" w:rsidP="00173E70">
            <w:pPr>
              <w:pStyle w:val="ListBullet"/>
            </w:pPr>
            <w:r w:rsidRPr="00173E70">
              <w:t>applying all of the following:</w:t>
            </w:r>
          </w:p>
          <w:p w:rsidR="00000000" w:rsidRPr="00173E70" w:rsidP="00173E70">
            <w:pPr>
              <w:pStyle w:val="ListBullet2"/>
            </w:pPr>
            <w:r w:rsidRPr="00173E70">
              <w:t>use of work permits and/or authorisation permits</w:t>
            </w:r>
          </w:p>
          <w:p w:rsidR="00000000" w:rsidRPr="00173E70" w:rsidP="00173E70">
            <w:pPr>
              <w:pStyle w:val="ListBullet2"/>
            </w:pPr>
            <w:r w:rsidRPr="00173E70">
              <w:t>sustainable energy principles and practices</w:t>
            </w:r>
          </w:p>
          <w:p w:rsidR="00000000" w:rsidRPr="00173E70" w:rsidP="00173E70">
            <w:pPr>
              <w:pStyle w:val="ListBullet2"/>
            </w:pPr>
            <w:r w:rsidRPr="00173E70">
              <w:t>possible effects of weather conditions on working near electrical apparatus as an electri</w:t>
            </w:r>
            <w:r w:rsidRPr="00173E70">
              <w:t>cal worker</w:t>
            </w:r>
          </w:p>
          <w:p w:rsidR="00000000" w:rsidRPr="00173E70" w:rsidP="00173E70">
            <w:pPr>
              <w:pStyle w:val="ListBullet"/>
            </w:pPr>
            <w:r w:rsidRPr="00173E70">
              <w:t>dealing with unplanned events on at least one (1) occasion.</w:t>
            </w:r>
          </w:p>
        </w:tc>
      </w:tr>
    </w:tbl>
    <w:p w:rsidR="00000000" w:rsidRPr="00173E70" w:rsidP="00173E70">
      <w:pPr>
        <w:pStyle w:val="NoPaddingFontSize1"/>
      </w:pPr>
    </w:p>
    <w:p w:rsidR="00000000" w:rsidRPr="00173E70" w:rsidP="00173E70">
      <w:pPr>
        <w:pStyle w:val="AllowPageBreak"/>
      </w:pPr>
    </w:p>
    <w:p w:rsidR="00000000" w:rsidRPr="00173E70" w:rsidP="00173E70">
      <w:pPr>
        <w:pStyle w:val="Heading1"/>
      </w:pPr>
      <w:bookmarkStart w:id="3" w:name="O_1002958"/>
      <w:bookmarkEnd w:id="3"/>
      <w:r w:rsidRPr="00173E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E70">
            <w:pPr>
              <w:pStyle w:val="BodyText"/>
              <w:rPr>
                <w:lang w:val="en-NZ"/>
              </w:rPr>
            </w:pPr>
            <w:r w:rsidRPr="00173E7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73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70" w:rsidP="00173E70">
            <w:pPr>
              <w:pStyle w:val="ListBullet"/>
            </w:pPr>
            <w:r w:rsidRPr="00173E70">
              <w:t>electrical safety and principles, including:</w:t>
            </w:r>
          </w:p>
          <w:p w:rsidR="00000000" w:rsidRPr="00173E70" w:rsidP="00173E70">
            <w:pPr>
              <w:pStyle w:val="ListBullet2"/>
            </w:pPr>
            <w:r w:rsidRPr="00173E70">
              <w:t>hazards encountered in an el</w:t>
            </w:r>
            <w:r w:rsidRPr="00173E70">
              <w:t>ectrical environment and safety procedures for dealing with them - types of hazards (electrical shock, fire from an electrical source, chemical hazards and fall hazards.), factors indicating general unsafe work practices and conditions, and safety practice</w:t>
            </w:r>
            <w:r w:rsidRPr="00173E70">
              <w:t>s in the use of common tools and plant</w:t>
            </w:r>
          </w:p>
          <w:p w:rsidR="00000000" w:rsidRPr="00173E70" w:rsidP="00173E70">
            <w:pPr>
              <w:pStyle w:val="ListBullet2"/>
            </w:pPr>
            <w:r w:rsidRPr="00173E70">
              <w:t>rescue techniques and first aid treatment of an electric shock victim - methods to rescue an electrical shock victim in contact with live equipment or conductors; accepted first aid treatment for burns, bleeding and shock; and procedures for conducting exp</w:t>
            </w:r>
            <w:r w:rsidRPr="00173E70">
              <w:t>ired air resuscitation (EAR) and cardiopulmonary resuscitation (CPR)</w:t>
            </w:r>
          </w:p>
          <w:p w:rsidR="00000000" w:rsidRPr="00173E70" w:rsidP="00173E70">
            <w:pPr>
              <w:pStyle w:val="ListBullet2"/>
            </w:pPr>
            <w:r w:rsidRPr="00173E70">
              <w:t>procedures for dealing with fires and hazardous chemicals associated with electrical equipment - selection and use of different types of equipment used to fight fires associated with elec</w:t>
            </w:r>
            <w:r w:rsidRPr="00173E70">
              <w:t>trical equipment, procedures for dealing with a fire associated with electrical equipment, and procedures for dealing with polychlorinated biphenyls (PCB)s</w:t>
            </w:r>
          </w:p>
          <w:p w:rsidR="00000000" w:rsidRPr="00173E70" w:rsidP="00173E70">
            <w:pPr>
              <w:pStyle w:val="ListBullet2"/>
            </w:pPr>
            <w:r w:rsidRPr="00173E70">
              <w:t>basic circuit components and state the function of each - sources of electrical supply, control swit</w:t>
            </w:r>
            <w:r w:rsidRPr="00173E70">
              <w:t>ches, types and functions of resistive consuming devices, and basic circuit components symbols used in electrical diagrams</w:t>
            </w:r>
          </w:p>
          <w:p w:rsidR="00000000" w:rsidRPr="00173E70" w:rsidP="00173E70">
            <w:pPr>
              <w:pStyle w:val="ListBullet2"/>
            </w:pPr>
            <w:r w:rsidRPr="00173E70">
              <w:t>connection of basic electrical circuits and measurement of circuit parameters - connection of components that make up a single-source</w:t>
            </w:r>
            <w:r w:rsidRPr="00173E70">
              <w:t xml:space="preserve"> single-load circuit, relationship between voltage and current in such circuits, and consequences of a short-circuit and an open-circuit</w:t>
            </w:r>
          </w:p>
          <w:p w:rsidR="00000000" w:rsidRPr="00173E70" w:rsidP="00173E70">
            <w:pPr>
              <w:pStyle w:val="ListBullet2"/>
            </w:pPr>
            <w:r w:rsidRPr="00173E70">
              <w:t>determining voltage, current and resistance - calculation methods and measurement methods</w:t>
            </w:r>
          </w:p>
          <w:p w:rsidR="00000000" w:rsidRPr="00173E70" w:rsidP="00173E70">
            <w:pPr>
              <w:pStyle w:val="ListBullet2"/>
            </w:pPr>
            <w:r w:rsidRPr="00173E70">
              <w:t>cable and conductor terminati</w:t>
            </w:r>
            <w:r w:rsidRPr="00173E70">
              <w:t>ons to Australian/New Zealand Standards - types of terminations, cable conductor preparation, prepare conductor for termination and termination method (conductor terminations include soldered and pressure types)</w:t>
            </w:r>
          </w:p>
          <w:p w:rsidR="00000000" w:rsidRPr="00173E70" w:rsidP="00173E70">
            <w:pPr>
              <w:pStyle w:val="ListBullet"/>
            </w:pPr>
            <w:r w:rsidRPr="00173E70">
              <w:t>transmission, distribution and rail systems</w:t>
            </w:r>
            <w:r w:rsidRPr="00173E70">
              <w:t xml:space="preserve"> encompassing:</w:t>
            </w:r>
          </w:p>
          <w:p w:rsidR="00000000" w:rsidRPr="00173E70" w:rsidP="00173E70">
            <w:pPr>
              <w:pStyle w:val="ListBullet2"/>
            </w:pPr>
            <w:r w:rsidRPr="00173E70">
              <w:t>relationship between the transmission, distribution and rail/tram system within an overall power system - different organisations responsible for generation, transmission, distribution and rail/tram; and how they correlate and their functio</w:t>
            </w:r>
            <w:r w:rsidRPr="00173E70">
              <w:t>ns</w:t>
            </w:r>
          </w:p>
          <w:p w:rsidR="00000000" w:rsidRPr="00173E70" w:rsidP="00173E70">
            <w:pPr>
              <w:pStyle w:val="ListBullet2"/>
            </w:pPr>
            <w:r w:rsidRPr="00173E70">
              <w:t>characteristics of a transmission, a distribution and a rail system - principal components; typical voltage levels and methods of transmission and distribution, including grid type transmission systems, radial, parallel and ring main feeders</w:t>
            </w:r>
          </w:p>
          <w:p w:rsidR="00000000" w:rsidRPr="00173E70" w:rsidP="00173E70">
            <w:pPr>
              <w:pStyle w:val="ListBullet2"/>
            </w:pPr>
            <w:r w:rsidRPr="00173E70">
              <w:t>relationshi</w:t>
            </w:r>
            <w:r w:rsidRPr="00173E70">
              <w:t>p between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173E70" w:rsidP="00173E70">
            <w:pPr>
              <w:pStyle w:val="ListBullet2"/>
            </w:pPr>
            <w:r w:rsidRPr="00173E70">
              <w:t xml:space="preserve">single line drawings and layouts - </w:t>
            </w:r>
            <w:r w:rsidRPr="00173E70">
              <w:t>drawings and layouts of transmission and distribution systems, including radial, parallel and ring main feeders and the high voltage (HV) equipment associated with substations</w:t>
            </w:r>
          </w:p>
          <w:p w:rsidR="00000000" w:rsidRPr="00173E70" w:rsidP="00173E70">
            <w:pPr>
              <w:pStyle w:val="ListBullet"/>
            </w:pPr>
            <w:r w:rsidRPr="00173E70">
              <w:t>fundamentals for working safely near live electrical apparatus, including:</w:t>
            </w:r>
          </w:p>
          <w:p w:rsidR="00000000" w:rsidRPr="00173E70" w:rsidP="00173E70">
            <w:pPr>
              <w:pStyle w:val="ListBullet2"/>
            </w:pPr>
            <w:r w:rsidRPr="00173E70">
              <w:t>sta</w:t>
            </w:r>
            <w:r w:rsidRPr="00173E70">
              <w:t>ndards, guidelines/codes of practice, state/territory/local government legislation, supply authority regulations and-or enterprise requirements, including relevant certification and licensing applicable to working safely up to the defined safe working zone</w:t>
            </w:r>
            <w:r w:rsidRPr="00173E70">
              <w:t xml:space="preserve"> near energised electrical apparatus (including electrical powerlines) for non-electrical worker</w:t>
            </w:r>
          </w:p>
          <w:p w:rsidR="00000000" w:rsidRPr="00173E70" w:rsidP="00173E70">
            <w:pPr>
              <w:pStyle w:val="ListBullet2"/>
            </w:pPr>
            <w:r w:rsidRPr="00173E70">
              <w:t>definitions of terminologies - ‘safe working zone’ ‘risk assessment’, ‘safe approach distances zones’, ‘safe working distances’.’ work permits’, access authori</w:t>
            </w:r>
            <w:r w:rsidRPr="00173E70">
              <w:t>sation permits’, ‘technical standards’ ‘isolation procedures’ and compliance requirements’</w:t>
            </w:r>
          </w:p>
          <w:p w:rsidR="00000000" w:rsidRPr="00173E70" w:rsidP="00173E70">
            <w:pPr>
              <w:pStyle w:val="ListBullet2"/>
            </w:pPr>
            <w:r w:rsidRPr="00173E70">
              <w:t xml:space="preserve">WHS/OHS policies and procedures for working safely - emergency response and first aid procedures, such as CPR; roles and responsibilities of employers, employees and other parties under WHS/OHS legislation; personal protective equipment (PPE); identifying </w:t>
            </w:r>
            <w:r w:rsidRPr="00173E70">
              <w:t>hazards; assessing and controlling WHS/OHS risks; first aid procedures; duties of a safety observer; working at heights/confined spaces; permit to work systems and isolation procedures; and safe application of different types of tools and equipment</w:t>
            </w:r>
          </w:p>
          <w:p w:rsidR="00000000" w:rsidRPr="00173E70" w:rsidP="00173E70">
            <w:pPr>
              <w:pStyle w:val="ListBullet2"/>
            </w:pPr>
            <w:r w:rsidRPr="00173E70">
              <w:t>operati</w:t>
            </w:r>
            <w:r w:rsidRPr="00173E70">
              <w:t>on of mobile plant and machinery, such as elevated work platforms (EWP) near live electrical apparatus</w:t>
            </w:r>
          </w:p>
          <w:p w:rsidR="00000000" w:rsidRPr="00173E70" w:rsidP="00173E70">
            <w:pPr>
              <w:pStyle w:val="ListBullet2"/>
            </w:pPr>
            <w:r w:rsidRPr="00173E70">
              <w:t>electricity supply infrastructure assets and voltages</w:t>
            </w:r>
          </w:p>
          <w:p w:rsidR="00000000" w:rsidRPr="00173E70" w:rsidP="00173E70">
            <w:pPr>
              <w:pStyle w:val="ListBullet2"/>
            </w:pPr>
            <w:r w:rsidRPr="00173E70">
              <w:t>techniques and precautions in undertaking different work functions and working safely up to the def</w:t>
            </w:r>
            <w:r w:rsidRPr="00173E70">
              <w:t>ined safe working zone near energised electrical apparatus (including electrical powerlines) for non-electrical worker - work functions that may be performed, including vegetation control, scaffolding, rigging, painting, and/or any other activity that requ</w:t>
            </w:r>
            <w:r w:rsidRPr="00173E70">
              <w:t>ires working safely near live electrical apparatus by a non-electrical worker.</w:t>
            </w:r>
          </w:p>
        </w:tc>
      </w:tr>
    </w:tbl>
    <w:p w:rsidR="00000000" w:rsidRPr="00173E70" w:rsidP="00173E70">
      <w:pPr>
        <w:pStyle w:val="NoPaddingFontSize1"/>
      </w:pPr>
    </w:p>
    <w:p w:rsidR="00000000" w:rsidRPr="00173E70" w:rsidP="00173E70">
      <w:pPr>
        <w:pStyle w:val="AllowPageBreak"/>
      </w:pPr>
    </w:p>
    <w:p w:rsidR="00000000" w:rsidRPr="00173E70" w:rsidP="00173E70">
      <w:pPr>
        <w:pStyle w:val="Heading1"/>
      </w:pPr>
      <w:bookmarkStart w:id="4" w:name="O_1002959"/>
      <w:bookmarkEnd w:id="4"/>
      <w:r w:rsidRPr="00173E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E70" w:rsidP="00173E70">
            <w:pPr>
              <w:pStyle w:val="BodyText"/>
            </w:pPr>
            <w:r w:rsidRPr="00173E70">
              <w:t>Assessors must hold credentials specified within the Standards for Registered Training Organisations current at the time of assessment</w:t>
            </w:r>
            <w:r w:rsidRPr="00173E70">
              <w:t>.</w:t>
            </w:r>
          </w:p>
          <w:p w:rsidR="00000000" w:rsidRPr="00173E70" w:rsidP="00173E70">
            <w:pPr>
              <w:pStyle w:val="BodyText"/>
            </w:pPr>
            <w:r w:rsidRPr="00173E7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73E70" w:rsidP="00173E70">
            <w:pPr>
              <w:pStyle w:val="BodyText"/>
            </w:pPr>
            <w:r w:rsidRPr="00173E70">
              <w:t>Assessment must occur in workplace operation</w:t>
            </w:r>
            <w:r w:rsidRPr="00173E70">
              <w:t>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173E70" w:rsidP="00173E70">
            <w:pPr>
              <w:pStyle w:val="BodyText"/>
            </w:pPr>
            <w:r w:rsidRPr="00173E70">
              <w:t>Assessment processes and techniques m</w:t>
            </w:r>
            <w:r w:rsidRPr="00173E70">
              <w:t>ust be appropriate to the language, literacy and numeracy requirements of the work being performed and the needs of the candidate.</w:t>
            </w:r>
          </w:p>
          <w:p w:rsidR="00000000" w:rsidRPr="00173E70" w:rsidP="00173E70">
            <w:pPr>
              <w:pStyle w:val="BodyText"/>
            </w:pPr>
            <w:r w:rsidRPr="00173E70">
              <w:t>Resources for assessment must include access to:</w:t>
            </w:r>
          </w:p>
          <w:p w:rsidR="00000000" w:rsidRPr="00173E70" w:rsidP="00173E70">
            <w:pPr>
              <w:pStyle w:val="ListBullet"/>
            </w:pPr>
            <w:r w:rsidRPr="00173E70">
              <w:t>a range of relevant exercises, case studies and/or other simulations</w:t>
            </w:r>
          </w:p>
          <w:p w:rsidR="00000000" w:rsidRPr="00173E70" w:rsidP="00173E70">
            <w:pPr>
              <w:pStyle w:val="ListBullet"/>
            </w:pPr>
            <w:r w:rsidRPr="00173E70">
              <w:t>relev</w:t>
            </w:r>
            <w:r w:rsidRPr="00173E70">
              <w:t>ant and appropriate materials, tools, facilities, equipment and PPE currently used in industry for working safely near live electrical apparatus</w:t>
            </w:r>
          </w:p>
          <w:p w:rsidR="00000000" w:rsidRPr="00173E70" w:rsidP="00173E70">
            <w:pPr>
              <w:pStyle w:val="ListBullet"/>
            </w:pPr>
            <w:r w:rsidRPr="00173E70">
              <w:t>applicable documentation, including workplace procedures, relevant industry standards, equipment specifications</w:t>
            </w:r>
            <w:r w:rsidRPr="00173E70">
              <w:t>, regulations, codes of practice and operation manuals.</w:t>
            </w:r>
          </w:p>
        </w:tc>
      </w:tr>
    </w:tbl>
    <w:p w:rsidR="00000000" w:rsidRPr="00173E70" w:rsidP="00173E70">
      <w:pPr>
        <w:pStyle w:val="NoPaddingFontSize1"/>
      </w:pPr>
    </w:p>
    <w:p w:rsidR="00000000" w:rsidRPr="00173E70" w:rsidP="00173E70">
      <w:pPr>
        <w:pStyle w:val="AllowPageBreak"/>
      </w:pPr>
    </w:p>
    <w:p w:rsidR="00000000" w:rsidRPr="00173E70" w:rsidP="00173E70">
      <w:pPr>
        <w:pStyle w:val="Heading1"/>
      </w:pPr>
      <w:bookmarkStart w:id="5" w:name="O_1002962"/>
      <w:bookmarkEnd w:id="5"/>
      <w:r w:rsidRPr="00173E70">
        <w:t>Links</w:t>
      </w:r>
    </w:p>
    <w:p w:rsidR="00000000" w:rsidRPr="00173E70" w:rsidP="00A330A4">
      <w:pPr>
        <w:pStyle w:val="BodyText"/>
      </w:pPr>
      <w:r w:rsidRPr="00173E7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52F7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73E70" w:rsidP="00173E70"/>
    <w:sectPr w:rsidSect="00173E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70" w:rsidRPr="00A330A4" w:rsidP="00A330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A4" w:rsidP="00173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0A4" w:rsidP="00173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330A4" w:rsidP="00173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E70" w:rsidRPr="00A330A4" w:rsidP="00A330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0A4" w:rsidRPr="002D2AF8" w:rsidP="00173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UETTDREL16 Working safely near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A330A4" w:rsidP="00173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AA7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82A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9662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E70"/>
  </w:style>
  <w:style w:type="character" w:customStyle="1" w:styleId="Heading1Char">
    <w:name w:val="Heading 1 Char"/>
    <w:basedOn w:val="DefaultParagraphFont"/>
    <w:link w:val="Heading1"/>
    <w:rsid w:val="00173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E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3E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3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3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3E70"/>
    <w:rPr>
      <w:b/>
      <w:spacing w:val="0"/>
    </w:rPr>
  </w:style>
  <w:style w:type="paragraph" w:customStyle="1" w:styleId="SuperTitle">
    <w:name w:val="SuperTitle"/>
    <w:basedOn w:val="Title"/>
    <w:rsid w:val="00173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3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E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E70"/>
    <w:rPr>
      <w:i/>
    </w:rPr>
  </w:style>
  <w:style w:type="paragraph" w:styleId="Caption">
    <w:name w:val="caption"/>
    <w:basedOn w:val="BodyText"/>
    <w:next w:val="Normal"/>
    <w:qFormat/>
    <w:rsid w:val="00173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E70"/>
  </w:style>
  <w:style w:type="paragraph" w:styleId="TableofFigures">
    <w:name w:val="table of figures"/>
    <w:basedOn w:val="Normal"/>
    <w:next w:val="Normal"/>
    <w:semiHidden/>
    <w:rsid w:val="00173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E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3E70"/>
    <w:rPr>
      <w:rFonts w:ascii="Wingdings" w:hAnsi="Wingdings"/>
    </w:rPr>
  </w:style>
  <w:style w:type="paragraph" w:customStyle="1" w:styleId="TableHeading">
    <w:name w:val="Table Heading"/>
    <w:basedOn w:val="HeadingBase"/>
    <w:rsid w:val="00173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E70"/>
    <w:rPr>
      <w:color w:val="0033CC"/>
      <w:u w:val="none"/>
    </w:rPr>
  </w:style>
  <w:style w:type="paragraph" w:customStyle="1" w:styleId="BodyTextRight">
    <w:name w:val="Body Text Right"/>
    <w:basedOn w:val="BodyText"/>
    <w:rsid w:val="00173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E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E70"/>
    <w:rPr>
      <w:sz w:val="32"/>
    </w:rPr>
  </w:style>
  <w:style w:type="paragraph" w:customStyle="1" w:styleId="HeadingProcedure">
    <w:name w:val="Heading Procedure"/>
    <w:basedOn w:val="HeadingBase"/>
    <w:next w:val="Normal"/>
    <w:rsid w:val="00173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E70"/>
    <w:pPr>
      <w:spacing w:before="60" w:after="60"/>
    </w:pPr>
  </w:style>
  <w:style w:type="paragraph" w:styleId="ListContinue">
    <w:name w:val="List Continue"/>
    <w:basedOn w:val="List"/>
    <w:rsid w:val="00173E70"/>
    <w:pPr>
      <w:ind w:firstLine="0"/>
    </w:pPr>
  </w:style>
  <w:style w:type="paragraph" w:customStyle="1" w:styleId="ListNote">
    <w:name w:val="List Note"/>
    <w:basedOn w:val="List"/>
    <w:rsid w:val="00173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E70"/>
    <w:rPr>
      <w:rFonts w:ascii="Courier New" w:hAnsi="Courier New"/>
    </w:rPr>
  </w:style>
  <w:style w:type="paragraph" w:customStyle="1" w:styleId="NoteBullet">
    <w:name w:val="Note Bullet"/>
    <w:basedOn w:val="Note"/>
    <w:rsid w:val="00173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E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3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E70"/>
    <w:rPr>
      <w:b/>
      <w:smallCaps/>
    </w:rPr>
  </w:style>
  <w:style w:type="paragraph" w:customStyle="1" w:styleId="TableListNumber">
    <w:name w:val="Table List Number"/>
    <w:basedOn w:val="ListNumber"/>
    <w:rsid w:val="00173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E70"/>
    <w:pPr>
      <w:numPr>
        <w:numId w:val="9"/>
      </w:numPr>
    </w:pPr>
  </w:style>
  <w:style w:type="paragraph" w:customStyle="1" w:styleId="ListAlpha2">
    <w:name w:val="List Alpha 2"/>
    <w:basedOn w:val="List2"/>
    <w:rsid w:val="00173E70"/>
    <w:pPr>
      <w:numPr>
        <w:numId w:val="8"/>
      </w:numPr>
    </w:pPr>
  </w:style>
  <w:style w:type="paragraph" w:styleId="List2">
    <w:name w:val="List 2"/>
    <w:basedOn w:val="BodyText"/>
    <w:rsid w:val="00173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E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E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3E70"/>
    <w:pPr>
      <w:numPr>
        <w:numId w:val="4"/>
      </w:numPr>
    </w:pPr>
  </w:style>
  <w:style w:type="paragraph" w:styleId="ListContinue2">
    <w:name w:val="List Continue 2"/>
    <w:basedOn w:val="List2"/>
    <w:rsid w:val="00173E70"/>
    <w:pPr>
      <w:ind w:firstLine="0"/>
    </w:pPr>
  </w:style>
  <w:style w:type="paragraph" w:styleId="ListContinue3">
    <w:name w:val="List Continue 3"/>
    <w:basedOn w:val="List3"/>
    <w:rsid w:val="00173E70"/>
    <w:pPr>
      <w:ind w:left="1021" w:firstLine="0"/>
    </w:pPr>
  </w:style>
  <w:style w:type="paragraph" w:styleId="ListContinue4">
    <w:name w:val="List Continue 4"/>
    <w:basedOn w:val="List4"/>
    <w:rsid w:val="00173E70"/>
    <w:pPr>
      <w:ind w:firstLine="0"/>
    </w:pPr>
  </w:style>
  <w:style w:type="paragraph" w:styleId="ListContinue5">
    <w:name w:val="List Continue 5"/>
    <w:basedOn w:val="List5"/>
    <w:rsid w:val="00173E70"/>
    <w:pPr>
      <w:ind w:firstLine="0"/>
    </w:pPr>
  </w:style>
  <w:style w:type="paragraph" w:styleId="ListNumber3">
    <w:name w:val="List Number 3"/>
    <w:basedOn w:val="List3"/>
    <w:rsid w:val="00173E70"/>
    <w:pPr>
      <w:numPr>
        <w:numId w:val="5"/>
      </w:numPr>
    </w:pPr>
  </w:style>
  <w:style w:type="paragraph" w:styleId="ListNumber4">
    <w:name w:val="List Number 4"/>
    <w:basedOn w:val="List4"/>
    <w:rsid w:val="00173E70"/>
    <w:pPr>
      <w:numPr>
        <w:numId w:val="6"/>
      </w:numPr>
    </w:pPr>
  </w:style>
  <w:style w:type="paragraph" w:styleId="ListNumber5">
    <w:name w:val="List Number 5"/>
    <w:basedOn w:val="List5"/>
    <w:rsid w:val="00173E70"/>
    <w:pPr>
      <w:numPr>
        <w:numId w:val="7"/>
      </w:numPr>
    </w:pPr>
  </w:style>
  <w:style w:type="paragraph" w:styleId="BlockText">
    <w:name w:val="Block Text"/>
    <w:basedOn w:val="Normal"/>
    <w:rsid w:val="00173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E70"/>
    <w:rPr>
      <w:sz w:val="16"/>
      <w:vertAlign w:val="superscript"/>
    </w:rPr>
  </w:style>
  <w:style w:type="character" w:customStyle="1" w:styleId="Symbols">
    <w:name w:val="Symbols"/>
    <w:basedOn w:val="DefaultParagraphFont"/>
    <w:rsid w:val="00173E70"/>
    <w:rPr>
      <w:rFonts w:ascii="Symbol" w:hAnsi="Symbol"/>
    </w:rPr>
  </w:style>
  <w:style w:type="character" w:customStyle="1" w:styleId="MenuOptions">
    <w:name w:val="Menu Options"/>
    <w:basedOn w:val="DefaultParagraphFont"/>
    <w:rsid w:val="00173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E70"/>
    <w:rPr>
      <w:b/>
    </w:rPr>
  </w:style>
  <w:style w:type="character" w:customStyle="1" w:styleId="Underlined">
    <w:name w:val="Underlined"/>
    <w:basedOn w:val="DefaultParagraphFont"/>
    <w:rsid w:val="00173E70"/>
    <w:rPr>
      <w:u w:val="single"/>
    </w:rPr>
  </w:style>
  <w:style w:type="paragraph" w:customStyle="1" w:styleId="TableBodyTextRight">
    <w:name w:val="Table Body Text Right"/>
    <w:basedOn w:val="TableBodyText"/>
    <w:rsid w:val="00173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E70"/>
    <w:rPr>
      <w:sz w:val="18"/>
    </w:rPr>
  </w:style>
  <w:style w:type="paragraph" w:customStyle="1" w:styleId="BodySmallRight">
    <w:name w:val="Body Small Right"/>
    <w:basedOn w:val="BodyTextRight"/>
    <w:rsid w:val="00173E70"/>
    <w:rPr>
      <w:sz w:val="18"/>
      <w:szCs w:val="18"/>
    </w:rPr>
  </w:style>
  <w:style w:type="paragraph" w:customStyle="1" w:styleId="MarginEdition">
    <w:name w:val="Margin Edition"/>
    <w:basedOn w:val="MarginNote"/>
    <w:rsid w:val="00173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E70"/>
    <w:rPr>
      <w:sz w:val="2"/>
      <w:szCs w:val="2"/>
    </w:rPr>
  </w:style>
  <w:style w:type="character" w:customStyle="1" w:styleId="Small">
    <w:name w:val="Small"/>
    <w:basedOn w:val="DefaultParagraphFont"/>
    <w:rsid w:val="00173E70"/>
    <w:rPr>
      <w:sz w:val="16"/>
    </w:rPr>
  </w:style>
  <w:style w:type="paragraph" w:customStyle="1" w:styleId="WideTable">
    <w:name w:val="Wide Table"/>
    <w:basedOn w:val="Normal"/>
    <w:rsid w:val="00173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E70"/>
  </w:style>
  <w:style w:type="paragraph" w:styleId="Quote">
    <w:name w:val="Quote"/>
    <w:basedOn w:val="Heading1"/>
    <w:link w:val="QuoteChar"/>
    <w:qFormat/>
    <w:rsid w:val="00173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E70"/>
    <w:pPr>
      <w:pageBreakBefore/>
    </w:pPr>
  </w:style>
  <w:style w:type="paragraph" w:customStyle="1" w:styleId="Border">
    <w:name w:val="Border"/>
    <w:basedOn w:val="Normal"/>
    <w:qFormat/>
    <w:rsid w:val="00173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E70"/>
    <w:rPr>
      <w:u w:val="single"/>
    </w:rPr>
  </w:style>
  <w:style w:type="character" w:customStyle="1" w:styleId="BoldandItalics">
    <w:name w:val="Bold and Italics"/>
    <w:qFormat/>
    <w:rsid w:val="00173E70"/>
    <w:rPr>
      <w:b/>
      <w:i/>
      <w:u w:val="none"/>
    </w:rPr>
  </w:style>
  <w:style w:type="paragraph" w:styleId="BalloonText">
    <w:name w:val="Balloon Text"/>
    <w:basedOn w:val="Normal"/>
    <w:link w:val="BalloonTextChar"/>
    <w:rsid w:val="00173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E70"/>
    <w:pPr>
      <w:spacing w:before="0" w:after="0"/>
    </w:pPr>
  </w:style>
  <w:style w:type="paragraph" w:customStyle="1" w:styleId="BodyTextBold">
    <w:name w:val="Body Text Bold"/>
    <w:basedOn w:val="BodyText"/>
    <w:qFormat/>
    <w:rsid w:val="00173E70"/>
    <w:rPr>
      <w:b/>
    </w:rPr>
  </w:style>
  <w:style w:type="character" w:styleId="Hyperlink">
    <w:name w:val="Hyperlink"/>
    <w:basedOn w:val="DefaultParagraphFont"/>
    <w:uiPriority w:val="99"/>
    <w:unhideWhenUsed/>
    <w:rsid w:val="00A330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1140</Words>
  <Characters>7537</Characters>
  <Application>Microsoft Office Word</Application>
  <DocSecurity>0</DocSecurity>
  <Lines>144</Lines>
  <Paragraphs>80</Paragraphs>
  <ScaleCrop>false</ScaleCrop>
  <Company>Author-it Software Corporation Ltd.</Company>
  <LinksUpToDate>false</LinksUpToDate>
  <CharactersWithSpaces>8597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UETTDREL16 Working safely near live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2021-04-20T06:46:00Z</dcterms:created>
  <dcterms:modified xsi:type="dcterms:W3CDTF">2021-04-20T06:46:00Z</dcterms:modified>
</cp:coreProperties>
</file>