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A1D" w:rsidP="00066A1D">
      <w:pPr>
        <w:pStyle w:val="Title"/>
      </w:pPr>
      <w:r>
        <w:fldChar w:fldCharType="begin"/>
      </w:r>
      <w:r>
        <w:instrText xml:space="preserve"> TITLE   \* MERGEFORMAT </w:instrText>
      </w:r>
      <w:r>
        <w:fldChar w:fldCharType="separate"/>
      </w:r>
      <w:r>
        <w:t>UETTDREL14 Working safely near live electrical apparatus as a non-electrical worker</w:t>
      </w:r>
      <w:r>
        <w:fldChar w:fldCharType="end"/>
      </w:r>
    </w:p>
    <w:p w:rsidR="00066A1D" w:rsidP="00066A1D">
      <w:pPr>
        <w:pStyle w:val="Version"/>
        <w:sectPr w:rsidSect="00A345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459D" w:rsidP="00A3459D">
      <w:pPr>
        <w:pStyle w:val="SuperHeading"/>
      </w:pPr>
      <w:r w:rsidRPr="00A3459D">
        <w:t>UETTDREL14 Working safely near live electrical apparatus as a non-electrical worker</w:t>
      </w:r>
    </w:p>
    <w:p w:rsidR="00000000" w:rsidRPr="00A3459D" w:rsidP="00A3459D">
      <w:pPr>
        <w:pStyle w:val="Heading1"/>
      </w:pPr>
      <w:bookmarkStart w:id="1" w:name="O_1002908"/>
      <w:bookmarkEnd w:id="1"/>
      <w:r w:rsidRPr="00A3459D">
        <w:t>Modification History</w:t>
      </w:r>
    </w:p>
    <w:tbl>
      <w:tblPr>
        <w:tblW w:w="9497" w:type="dxa"/>
        <w:tblLayout w:type="fixed"/>
        <w:tblCellMar>
          <w:left w:w="62" w:type="dxa"/>
          <w:right w:w="62" w:type="dxa"/>
        </w:tblCellMar>
        <w:tblLook w:val="0000"/>
      </w:tblPr>
      <w:tblGrid>
        <w:gridCol w:w="9497"/>
      </w:tblGrid>
      <w:tr w:rsidTr="00A34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59D" w:rsidP="00A3459D">
            <w:pPr>
              <w:pStyle w:val="BodyText"/>
            </w:pPr>
            <w:r w:rsidRPr="00A3459D">
              <w:t>Release 1. This is the first release of this unit of competency in the UET Transmission, Distribution and Rail Sector Training Package.</w:t>
            </w:r>
          </w:p>
        </w:tc>
      </w:tr>
    </w:tbl>
    <w:p w:rsidR="00000000" w:rsidRPr="00A3459D" w:rsidP="00A3459D">
      <w:pPr>
        <w:pStyle w:val="NoPaddingFontSize1"/>
      </w:pPr>
    </w:p>
    <w:p w:rsidR="00000000" w:rsidRPr="00A3459D" w:rsidP="00A3459D">
      <w:pPr>
        <w:pStyle w:val="AllowPageBreak"/>
      </w:pPr>
    </w:p>
    <w:p w:rsidR="00000000" w:rsidRPr="00A3459D" w:rsidP="00A3459D">
      <w:pPr>
        <w:pStyle w:val="Heading1"/>
      </w:pPr>
      <w:bookmarkStart w:id="2" w:name="O_1002909"/>
      <w:bookmarkEnd w:id="2"/>
      <w:r w:rsidRPr="00A3459D">
        <w:t>Application</w:t>
      </w:r>
    </w:p>
    <w:tbl>
      <w:tblPr>
        <w:tblW w:w="9497" w:type="dxa"/>
        <w:tblLayout w:type="fixed"/>
        <w:tblCellMar>
          <w:left w:w="62" w:type="dxa"/>
          <w:right w:w="62" w:type="dxa"/>
        </w:tblCellMar>
        <w:tblLook w:val="0000"/>
      </w:tblPr>
      <w:tblGrid>
        <w:gridCol w:w="9497"/>
      </w:tblGrid>
      <w:tr w:rsidTr="00A34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59D" w:rsidP="00A3459D">
            <w:pPr>
              <w:pStyle w:val="BodyText"/>
            </w:pPr>
            <w:r w:rsidRPr="00A3459D">
              <w:t>This unit covers compliance with working safely up to the defined safe approach distanc</w:t>
            </w:r>
            <w:r w:rsidRPr="00A3459D">
              <w:t xml:space="preserve">e (SAD) near energised electrical apparatus, including electrical powerlines, for non-electrical workers. </w:t>
            </w:r>
          </w:p>
          <w:p w:rsidR="00000000" w:rsidRPr="00A3459D" w:rsidP="00A3459D">
            <w:pPr>
              <w:pStyle w:val="BodyText"/>
            </w:pPr>
            <w:r w:rsidRPr="00A3459D">
              <w:t xml:space="preserve">It includes work functions that may be performed, such as vegetation control, scaffolding, rigging, painting and/or any other activity that requires </w:t>
            </w:r>
            <w:r w:rsidRPr="00A3459D">
              <w:t>working safely and complying with requirements and/or established procedures near live electrical apparatus by a non-electrical worker. Also included is the preparation of risk assessment control measures that encompass job safety assessment. It does not i</w:t>
            </w:r>
            <w:r w:rsidRPr="00A3459D">
              <w:t>nclude any work that is or may be performed by other competent operatives within the defined safe working zone. The defined safe working zone is that so defined by relevant state or territory regulatory agencies/bodies, local government legislation, indust</w:t>
            </w:r>
            <w:r w:rsidRPr="00A3459D">
              <w:t>ry bi-partite bodies, guidelines/codes of practices or other related requirements for safe work and access near live electrical and mechanical apparatus.</w:t>
            </w:r>
          </w:p>
          <w:p w:rsidR="00000000" w:rsidRPr="00A3459D" w:rsidP="00A3459D">
            <w:pPr>
              <w:pStyle w:val="BodyText"/>
            </w:pPr>
            <w:r w:rsidRPr="00A3459D">
              <w:t xml:space="preserve">The application of the skills and knowledge described in this unit may require a licence/registration </w:t>
            </w:r>
            <w:r w:rsidRPr="00A3459D">
              <w:t xml:space="preserve">to practice in the workplace subject to regulations for undertaking of electrical work.  </w:t>
            </w:r>
          </w:p>
          <w:p w:rsidR="00000000" w:rsidRPr="00A3459D" w:rsidP="00A3459D">
            <w:pPr>
              <w:pStyle w:val="BodyText"/>
            </w:pPr>
            <w:r w:rsidRPr="00A3459D">
              <w:t>Other conditions may apply under state and territory legislative and regulatory licencing requirements which must be confirmed prior to commencing this unit.</w:t>
            </w:r>
          </w:p>
        </w:tc>
      </w:tr>
    </w:tbl>
    <w:p w:rsidR="00000000" w:rsidRPr="00A3459D" w:rsidP="00A3459D">
      <w:pPr>
        <w:pStyle w:val="NoPaddingFontSize1"/>
      </w:pPr>
    </w:p>
    <w:p w:rsidR="00000000" w:rsidRPr="00A3459D" w:rsidP="00A3459D">
      <w:pPr>
        <w:pStyle w:val="AllowPageBreak"/>
      </w:pPr>
    </w:p>
    <w:p w:rsidR="00000000" w:rsidRPr="00A3459D" w:rsidP="00A3459D">
      <w:pPr>
        <w:pStyle w:val="Heading1"/>
      </w:pPr>
      <w:bookmarkStart w:id="3" w:name="O_1002910"/>
      <w:bookmarkEnd w:id="3"/>
      <w:r w:rsidRPr="00A3459D">
        <w:t>Pre-requisite Unit</w:t>
      </w:r>
    </w:p>
    <w:tbl>
      <w:tblPr>
        <w:tblW w:w="9497" w:type="dxa"/>
        <w:tblLayout w:type="fixed"/>
        <w:tblCellMar>
          <w:left w:w="62" w:type="dxa"/>
          <w:right w:w="62" w:type="dxa"/>
        </w:tblCellMar>
        <w:tblLook w:val="0000"/>
      </w:tblPr>
      <w:tblGrid>
        <w:gridCol w:w="9497"/>
      </w:tblGrid>
      <w:tr w:rsidTr="00A34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59D" w:rsidP="00A3459D">
            <w:pPr>
              <w:pStyle w:val="BodyText"/>
            </w:pPr>
            <w:r w:rsidRPr="00A3459D">
              <w:t>There are no prerequisite competencies to this unit.</w:t>
            </w:r>
          </w:p>
        </w:tc>
      </w:tr>
    </w:tbl>
    <w:p w:rsidR="00000000" w:rsidRPr="00A3459D" w:rsidP="00A3459D">
      <w:pPr>
        <w:pStyle w:val="NoPaddingFontSize1"/>
      </w:pPr>
    </w:p>
    <w:p w:rsidR="00000000" w:rsidRPr="00A3459D" w:rsidP="00A3459D">
      <w:pPr>
        <w:pStyle w:val="AllowPageBreak"/>
      </w:pPr>
    </w:p>
    <w:p w:rsidR="00000000" w:rsidRPr="00A3459D" w:rsidP="00A3459D">
      <w:pPr>
        <w:pStyle w:val="Heading1"/>
      </w:pPr>
      <w:bookmarkStart w:id="4" w:name="O_1002911"/>
      <w:bookmarkEnd w:id="4"/>
      <w:r w:rsidRPr="00A3459D">
        <w:t>Competency Field</w:t>
      </w:r>
    </w:p>
    <w:tbl>
      <w:tblPr>
        <w:tblW w:w="9497" w:type="dxa"/>
        <w:tblLayout w:type="fixed"/>
        <w:tblCellMar>
          <w:left w:w="62" w:type="dxa"/>
          <w:right w:w="62" w:type="dxa"/>
        </w:tblCellMar>
        <w:tblLook w:val="0000"/>
      </w:tblPr>
      <w:tblGrid>
        <w:gridCol w:w="9497"/>
      </w:tblGrid>
      <w:tr w:rsidTr="00A34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59D" w:rsidP="00A3459D">
            <w:pPr>
              <w:pStyle w:val="BodyText"/>
            </w:pPr>
            <w:r w:rsidRPr="00A3459D">
              <w:t>Entry Level Cross Discipline</w:t>
            </w:r>
          </w:p>
        </w:tc>
      </w:tr>
    </w:tbl>
    <w:p w:rsidR="00000000" w:rsidRPr="00A3459D" w:rsidP="00A3459D">
      <w:pPr>
        <w:pStyle w:val="NoPaddingFontSize1"/>
      </w:pPr>
    </w:p>
    <w:p w:rsidR="00000000" w:rsidRPr="00A3459D" w:rsidP="00A3459D">
      <w:pPr>
        <w:pStyle w:val="AllowPageBreak"/>
      </w:pPr>
    </w:p>
    <w:p w:rsidR="00000000" w:rsidRPr="00A3459D" w:rsidP="00A3459D">
      <w:pPr>
        <w:pStyle w:val="Heading1"/>
      </w:pPr>
      <w:bookmarkStart w:id="5" w:name="O_1002912"/>
      <w:bookmarkEnd w:id="5"/>
      <w:r w:rsidRPr="00A3459D">
        <w:t>Unit Sector</w:t>
      </w:r>
    </w:p>
    <w:tbl>
      <w:tblPr>
        <w:tblW w:w="9497" w:type="dxa"/>
        <w:tblLayout w:type="fixed"/>
        <w:tblCellMar>
          <w:left w:w="62" w:type="dxa"/>
          <w:right w:w="62" w:type="dxa"/>
        </w:tblCellMar>
        <w:tblLook w:val="0000"/>
      </w:tblPr>
      <w:tblGrid>
        <w:gridCol w:w="9497"/>
      </w:tblGrid>
      <w:tr w:rsidTr="00A34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59D" w:rsidP="00A3459D">
            <w:pPr>
              <w:pStyle w:val="BodyText"/>
            </w:pPr>
            <w:r w:rsidRPr="00A3459D">
              <w:t>Not applicable.</w:t>
            </w:r>
          </w:p>
        </w:tc>
      </w:tr>
    </w:tbl>
    <w:p w:rsidR="00000000" w:rsidRPr="00A3459D" w:rsidP="00A3459D">
      <w:pPr>
        <w:pStyle w:val="NoPaddingFontSize1"/>
      </w:pPr>
    </w:p>
    <w:p w:rsidR="00000000" w:rsidRPr="00A3459D" w:rsidP="00A3459D">
      <w:pPr>
        <w:pStyle w:val="AllowPageBreak"/>
      </w:pPr>
    </w:p>
    <w:p w:rsidR="00000000" w:rsidRPr="00A3459D" w:rsidP="00A3459D">
      <w:pPr>
        <w:pStyle w:val="Heading1"/>
      </w:pPr>
      <w:bookmarkStart w:id="6" w:name="O_1002913"/>
      <w:bookmarkEnd w:id="6"/>
      <w:r w:rsidRPr="00A3459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3459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3459D" w:rsidP="00A3459D">
            <w:pPr>
              <w:pStyle w:val="BodyText"/>
            </w:pPr>
            <w:r w:rsidRPr="00A3459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rPr>
                <w:rStyle w:val="SpecialBold"/>
              </w:rPr>
              <w:t>PERFORMANCE CRITERIA</w:t>
            </w:r>
          </w:p>
        </w:tc>
      </w:tr>
      <w:tr w:rsidTr="00A3459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t>Performance criteria describe the performance needed to demonstrate achievement of the element.</w:t>
            </w:r>
          </w:p>
        </w:tc>
      </w:tr>
      <w:tr w:rsidTr="00A345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3459D" w:rsidP="00A3459D">
            <w:pPr>
              <w:pStyle w:val="BodyText"/>
            </w:pPr>
            <w:r w:rsidRPr="00A3459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3459D" w:rsidP="00A3459D">
            <w:pPr>
              <w:pStyle w:val="BodyText"/>
            </w:pPr>
            <w:r w:rsidRPr="00A3459D">
              <w:rPr>
                <w:rStyle w:val="SpecialBold"/>
              </w:rPr>
              <w:t>Prepare to work safely near live electrical apparatus as non-electrical worker</w:t>
            </w:r>
          </w:p>
        </w:tc>
        <w:tc>
          <w:tcPr>
            <w:tcW w:w="697"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t>Instructions related to the work to be performed safely near live electrical apparatus as non-electrical worker are received and confirmed</w:t>
            </w:r>
          </w:p>
        </w:tc>
      </w:tr>
      <w:tr w:rsidTr="00A345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5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t xml:space="preserve">Relevant requirements and established procedures to be followed and relevant personnel to be communicated </w:t>
            </w:r>
            <w:r w:rsidRPr="00A3459D">
              <w:t>with for the work to be performed are identified</w:t>
            </w:r>
          </w:p>
        </w:tc>
      </w:tr>
      <w:tr w:rsidTr="00A345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5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t>Work health and safety (WHS)/occupational health and safety (OHS) policies and procedures to be followed for the work to be performed are received and confirmed</w:t>
            </w:r>
          </w:p>
        </w:tc>
      </w:tr>
      <w:tr w:rsidTr="00A345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5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t>Suggestions to assist in meeting the safety requirements for working near live electrical apparatus as a non-electrical worker are made to others involved in the work</w:t>
            </w:r>
          </w:p>
        </w:tc>
      </w:tr>
      <w:tr w:rsidTr="00A345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5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t>Hazards are identified, WHS/OHS risks assessed and control measures prioritised, i</w:t>
            </w:r>
            <w:r w:rsidRPr="00A3459D">
              <w:t>mplemented and monitored, including emergency exits kept clear, according to established procedures</w:t>
            </w:r>
          </w:p>
        </w:tc>
      </w:tr>
      <w:tr w:rsidTr="00A345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5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t>Scope of responsibility and process of relevant work permit(s) issue are identified, received and confirmed according to requirements and established</w:t>
            </w:r>
            <w:r w:rsidRPr="00A3459D">
              <w:t xml:space="preserve"> procedures</w:t>
            </w:r>
          </w:p>
        </w:tc>
      </w:tr>
      <w:tr w:rsidTr="00A345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5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t>Relevant responsibility associated with first aid, safety observers and/or other related work safety procedures at the worksite are identified in accordance with requirements and established procedures to ensure safety measures are follo</w:t>
            </w:r>
            <w:r w:rsidRPr="00A3459D">
              <w:t>wed in the instance of an incident</w:t>
            </w:r>
          </w:p>
        </w:tc>
      </w:tr>
      <w:tr w:rsidTr="00A345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5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t xml:space="preserve">Processes for identifying and reporting client issues to appropriate personnel are identified in accordance with industry/community standards </w:t>
            </w:r>
          </w:p>
        </w:tc>
      </w:tr>
      <w:tr w:rsidTr="00A345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5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t>Site and the work schedule to be prepared are confirmed according to given instructions for a quality outcome and to minimise risk and damage to property, commerce, stock and individuals in accordance and established procedures</w:t>
            </w:r>
          </w:p>
        </w:tc>
      </w:tr>
      <w:tr w:rsidTr="00A345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5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t>Electricity infrastr</w:t>
            </w:r>
            <w:r w:rsidRPr="00A3459D">
              <w:t>ucture assets, related voltages and requirements for working safely near live electrical apparatus as non-electrical worker are identified</w:t>
            </w:r>
          </w:p>
        </w:tc>
      </w:tr>
      <w:tr w:rsidTr="00A345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5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t>SAD, including any zones thereof that may apply, as defined in industry guidelines, requirements and/or estab</w:t>
            </w:r>
            <w:r w:rsidRPr="00A3459D">
              <w:t>lished procedures for the intended work are confirmed</w:t>
            </w:r>
          </w:p>
        </w:tc>
      </w:tr>
      <w:tr w:rsidTr="00A345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3459D" w:rsidP="00A3459D">
            <w:pPr>
              <w:pStyle w:val="BodyText"/>
            </w:pPr>
            <w:r w:rsidRPr="00A3459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3459D" w:rsidP="00A3459D">
            <w:pPr>
              <w:pStyle w:val="BodyText"/>
            </w:pPr>
            <w:r w:rsidRPr="00A3459D">
              <w:rPr>
                <w:rStyle w:val="SpecialBold"/>
              </w:rPr>
              <w:t>Carry out work safely near live electrical apparatus as non-electrical worker</w:t>
            </w:r>
          </w:p>
        </w:tc>
        <w:tc>
          <w:tcPr>
            <w:tcW w:w="697"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t>WHS/OHS principles and practices to reduce the incidents of accidents are identified in accordance with given instructions, requirements and/or established procedures</w:t>
            </w:r>
          </w:p>
        </w:tc>
      </w:tr>
      <w:tr w:rsidTr="00A345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5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t>Working safely and complying with all safety requirements for working near live el</w:t>
            </w:r>
            <w:r w:rsidRPr="00A3459D">
              <w:t>ectrical apparatus as a non-electrical worker are followed in accordance with given instructions and established routines/procedures</w:t>
            </w:r>
          </w:p>
        </w:tc>
      </w:tr>
      <w:tr w:rsidTr="00A345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5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t>Processes for monitoring and reporting/referring hazards and WHS/OHS risks to immediate authorised personnel for dir</w:t>
            </w:r>
            <w:r w:rsidRPr="00A3459D">
              <w:t>ections according to established procedures are followed</w:t>
            </w:r>
          </w:p>
        </w:tc>
      </w:tr>
      <w:tr w:rsidTr="00A345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5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t>Non-routine events are referred to immediate authorised personnel for directions according to established procedures</w:t>
            </w:r>
          </w:p>
        </w:tc>
      </w:tr>
      <w:tr w:rsidTr="00A345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5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t>Unexpected events associated with working safely near live electrica</w:t>
            </w:r>
            <w:r w:rsidRPr="00A3459D">
              <w:t>l apparatus as a non-electrical worker are responded to using acquired known solutions and skills related to routine procedures to ensure work instructions and established procedures are met</w:t>
            </w:r>
          </w:p>
        </w:tc>
      </w:tr>
      <w:tr w:rsidTr="00A345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3459D" w:rsidP="00A3459D">
            <w:pPr>
              <w:pStyle w:val="BodyText"/>
            </w:pPr>
            <w:r w:rsidRPr="00A3459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3459D" w:rsidP="00A3459D">
            <w:pPr>
              <w:pStyle w:val="BodyText"/>
            </w:pPr>
            <w:r w:rsidRPr="00A3459D">
              <w:rPr>
                <w:rStyle w:val="SpecialBold"/>
              </w:rPr>
              <w:t>Complete work safely near live electrical apparatus as non-electrical worker</w:t>
            </w:r>
          </w:p>
        </w:tc>
        <w:tc>
          <w:tcPr>
            <w:tcW w:w="697"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t>Work schedule and anomalies for completion and checking of the work are reported to authorised personnel in accordance with established procedures</w:t>
            </w:r>
          </w:p>
        </w:tc>
      </w:tr>
      <w:tr w:rsidTr="00A345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5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t>Processes for reporti</w:t>
            </w:r>
            <w:r w:rsidRPr="00A3459D">
              <w:t>ng to accidents and/or incidents authorised personnel are confirmed in accordance with established procedures</w:t>
            </w:r>
          </w:p>
        </w:tc>
      </w:tr>
      <w:tr w:rsidTr="00A345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5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t>Requirements for returning work permits and/or access authorisation permits are confirmed</w:t>
            </w:r>
          </w:p>
        </w:tc>
      </w:tr>
      <w:tr w:rsidTr="00A345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5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t>Appropriate personnel are notified of work</w:t>
            </w:r>
            <w:r w:rsidRPr="00A3459D">
              <w:t xml:space="preserve"> completion according to established procedures</w:t>
            </w:r>
          </w:p>
        </w:tc>
      </w:tr>
      <w:tr w:rsidTr="00A3459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5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59D">
            <w:pPr>
              <w:pStyle w:val="BodyText"/>
              <w:rPr>
                <w:lang w:val="en-NZ"/>
              </w:rPr>
            </w:pPr>
            <w:r w:rsidRPr="00A3459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A3459D" w:rsidP="00A3459D">
            <w:pPr>
              <w:pStyle w:val="BodyText"/>
            </w:pPr>
            <w:r w:rsidRPr="00A3459D">
              <w:t>Works completion records and report forms/data sheets are completed accurately in accordance with given instructions and established procedures</w:t>
            </w:r>
          </w:p>
        </w:tc>
      </w:tr>
    </w:tbl>
    <w:p w:rsidR="00000000" w:rsidRPr="00A3459D" w:rsidP="00A3459D">
      <w:pPr>
        <w:pStyle w:val="NoPaddingFontSize1"/>
      </w:pPr>
    </w:p>
    <w:p w:rsidR="00000000" w:rsidRPr="00A3459D" w:rsidP="00A3459D">
      <w:pPr>
        <w:pStyle w:val="AllowPageBreak"/>
      </w:pPr>
    </w:p>
    <w:p w:rsidR="00000000" w:rsidRPr="00A3459D" w:rsidP="00A3459D">
      <w:pPr>
        <w:pStyle w:val="Heading1"/>
      </w:pPr>
      <w:bookmarkStart w:id="7" w:name="O_1002914"/>
      <w:bookmarkEnd w:id="7"/>
      <w:r w:rsidRPr="00A3459D">
        <w:t>Foundation Skills</w:t>
      </w:r>
    </w:p>
    <w:tbl>
      <w:tblPr>
        <w:tblW w:w="9497" w:type="dxa"/>
        <w:tblLayout w:type="fixed"/>
        <w:tblCellMar>
          <w:left w:w="62" w:type="dxa"/>
          <w:right w:w="62" w:type="dxa"/>
        </w:tblCellMar>
        <w:tblLook w:val="0000"/>
      </w:tblPr>
      <w:tblGrid>
        <w:gridCol w:w="9497"/>
      </w:tblGrid>
      <w:tr w:rsidTr="00A34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59D" w:rsidP="00A3459D">
            <w:pPr>
              <w:pStyle w:val="BodyText"/>
            </w:pPr>
            <w:r w:rsidRPr="00A3459D">
              <w:t>Foundation skills essential to performance are explicit in the performance criteria of this unit of competency.</w:t>
            </w:r>
          </w:p>
        </w:tc>
      </w:tr>
    </w:tbl>
    <w:p w:rsidR="00000000" w:rsidRPr="00A3459D" w:rsidP="00A3459D">
      <w:pPr>
        <w:pStyle w:val="NoPaddingFontSize1"/>
      </w:pPr>
    </w:p>
    <w:p w:rsidR="00000000" w:rsidRPr="00A3459D" w:rsidP="00A3459D">
      <w:pPr>
        <w:pStyle w:val="AllowPageBreak"/>
      </w:pPr>
    </w:p>
    <w:p w:rsidR="00000000" w:rsidRPr="00A3459D" w:rsidP="00A3459D">
      <w:pPr>
        <w:pStyle w:val="Heading1"/>
      </w:pPr>
      <w:bookmarkStart w:id="8" w:name="O_1002915"/>
      <w:bookmarkEnd w:id="8"/>
      <w:r w:rsidRPr="00A3459D">
        <w:t>Range of Conditions</w:t>
      </w:r>
    </w:p>
    <w:tbl>
      <w:tblPr>
        <w:tblW w:w="9497" w:type="dxa"/>
        <w:tblLayout w:type="fixed"/>
        <w:tblCellMar>
          <w:left w:w="62" w:type="dxa"/>
          <w:right w:w="62" w:type="dxa"/>
        </w:tblCellMar>
        <w:tblLook w:val="0000"/>
      </w:tblPr>
      <w:tblGrid>
        <w:gridCol w:w="9497"/>
      </w:tblGrid>
      <w:tr w:rsidTr="00A34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59D" w:rsidP="00A3459D">
            <w:pPr>
              <w:pStyle w:val="BodyText"/>
            </w:pPr>
            <w:r w:rsidRPr="00A3459D">
              <w:t>Range is restricted to essential operating conditions and any other variables essential to the work env</w:t>
            </w:r>
            <w:r w:rsidRPr="00A3459D">
              <w:t>ironment.</w:t>
            </w:r>
          </w:p>
          <w:p w:rsidR="00000000" w:rsidRPr="00A3459D" w:rsidP="00A3459D">
            <w:pPr>
              <w:pStyle w:val="BodyText"/>
            </w:pPr>
            <w:r w:rsidRPr="00A3459D">
              <w:t>Non-essential conditions may be found in the Companion Volume Implementation Guide.</w:t>
            </w:r>
          </w:p>
        </w:tc>
      </w:tr>
    </w:tbl>
    <w:p w:rsidR="00000000" w:rsidRPr="00A3459D" w:rsidP="00A3459D">
      <w:pPr>
        <w:pStyle w:val="NoPaddingFontSize1"/>
      </w:pPr>
    </w:p>
    <w:p w:rsidR="00000000" w:rsidRPr="00A3459D" w:rsidP="00A3459D">
      <w:pPr>
        <w:pStyle w:val="AllowPageBreak"/>
      </w:pPr>
    </w:p>
    <w:p w:rsidR="00000000" w:rsidRPr="00A3459D" w:rsidP="00A3459D">
      <w:pPr>
        <w:pStyle w:val="Heading1"/>
      </w:pPr>
      <w:bookmarkStart w:id="9" w:name="O_1002916"/>
      <w:bookmarkEnd w:id="9"/>
      <w:r w:rsidRPr="00A3459D">
        <w:t>Unit Mapping Information</w:t>
      </w:r>
    </w:p>
    <w:tbl>
      <w:tblPr>
        <w:tblW w:w="9497" w:type="dxa"/>
        <w:tblLayout w:type="fixed"/>
        <w:tblCellMar>
          <w:left w:w="62" w:type="dxa"/>
          <w:right w:w="62" w:type="dxa"/>
        </w:tblCellMar>
        <w:tblLook w:val="0000"/>
      </w:tblPr>
      <w:tblGrid>
        <w:gridCol w:w="9497"/>
      </w:tblGrid>
      <w:tr w:rsidTr="00A345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59D" w:rsidP="00A3459D">
            <w:pPr>
              <w:pStyle w:val="BodyText"/>
            </w:pPr>
            <w:r w:rsidRPr="00A3459D">
              <w:t>This unit replaces and is equivalent to UETTDREL14A Working safely near live electrical apparatus as a non-electrical worker.</w:t>
            </w:r>
          </w:p>
        </w:tc>
      </w:tr>
    </w:tbl>
    <w:p w:rsidR="00000000" w:rsidRPr="00A3459D" w:rsidP="00A3459D">
      <w:pPr>
        <w:pStyle w:val="NoPaddingFontSize1"/>
      </w:pPr>
    </w:p>
    <w:p w:rsidR="00000000" w:rsidRPr="00A3459D" w:rsidP="00A3459D">
      <w:pPr>
        <w:pStyle w:val="AllowPageBreak"/>
      </w:pPr>
    </w:p>
    <w:p w:rsidR="00000000" w:rsidRPr="00A3459D" w:rsidP="00A3459D">
      <w:pPr>
        <w:pStyle w:val="Heading1"/>
      </w:pPr>
      <w:bookmarkStart w:id="10" w:name="O_1002923"/>
      <w:bookmarkEnd w:id="10"/>
      <w:r w:rsidRPr="00A3459D">
        <w:t>Links</w:t>
      </w:r>
    </w:p>
    <w:p w:rsidR="00000000" w:rsidRPr="00A3459D" w:rsidP="00066A1D">
      <w:pPr>
        <w:pStyle w:val="BodyText"/>
      </w:pPr>
      <w:r w:rsidRPr="00A3459D">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266BD">
        <w:rPr>
          <w:rStyle w:val="Hyperlink"/>
        </w:rPr>
        <w:t>https://vetnet.gov.au/Pages/TrainingDocs.aspx?q=229bace1-b7bc-4653-9300-dffb13ecfad7</w:t>
      </w:r>
      <w:r>
        <w:fldChar w:fldCharType="end"/>
      </w:r>
    </w:p>
    <w:p w:rsidR="00000000" w:rsidRPr="00A3459D" w:rsidP="00A3459D"/>
    <w:sectPr w:rsidSect="00A345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5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59D" w:rsidRPr="00066A1D" w:rsidP="00066A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5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A1D" w:rsidP="00A345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6A1D" w:rsidP="00A3459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66A1D" w:rsidP="00A345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5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A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459D" w:rsidRPr="00066A1D" w:rsidP="00066A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5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A1D" w:rsidRPr="002D2AF8" w:rsidP="00A3459D">
    <w:pPr>
      <w:pStyle w:val="Header"/>
      <w:framePr w:wrap="around"/>
    </w:pPr>
    <w:r>
      <w:fldChar w:fldCharType="begin"/>
    </w:r>
    <w:r>
      <w:instrText xml:space="preserve"> TITLE   \* MERGEFORMAT </w:instrText>
    </w:r>
    <w:r>
      <w:fldChar w:fldCharType="separate"/>
    </w:r>
    <w:r>
      <w:t>UETTDREL14 Working safely near live electrical apparatus as a non-electrical worker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066A1D" w:rsidP="00A345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5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459D"/>
    <w:pPr>
      <w:spacing w:before="360" w:after="60"/>
      <w:outlineLvl w:val="0"/>
    </w:pPr>
    <w:rPr>
      <w:sz w:val="32"/>
    </w:rPr>
  </w:style>
  <w:style w:type="paragraph" w:styleId="Heading2">
    <w:name w:val="heading 2"/>
    <w:basedOn w:val="HeadingBase"/>
    <w:next w:val="BodyText"/>
    <w:link w:val="Heading2Char"/>
    <w:qFormat/>
    <w:rsid w:val="00A3459D"/>
    <w:pPr>
      <w:keepLines/>
      <w:spacing w:before="240" w:after="120"/>
      <w:outlineLvl w:val="1"/>
    </w:pPr>
    <w:rPr>
      <w:sz w:val="28"/>
      <w:szCs w:val="40"/>
    </w:rPr>
  </w:style>
  <w:style w:type="paragraph" w:styleId="Heading3">
    <w:name w:val="heading 3"/>
    <w:basedOn w:val="HeadingBase"/>
    <w:next w:val="BodyText"/>
    <w:link w:val="Heading3Char"/>
    <w:qFormat/>
    <w:rsid w:val="00A3459D"/>
    <w:pPr>
      <w:spacing w:before="180" w:after="120"/>
      <w:outlineLvl w:val="2"/>
    </w:pPr>
    <w:rPr>
      <w:spacing w:val="-10"/>
      <w:kern w:val="32"/>
    </w:rPr>
  </w:style>
  <w:style w:type="paragraph" w:styleId="Heading4">
    <w:name w:val="heading 4"/>
    <w:basedOn w:val="HeadingBase"/>
    <w:next w:val="BodyText"/>
    <w:link w:val="Heading4Char"/>
    <w:qFormat/>
    <w:rsid w:val="00A3459D"/>
    <w:pPr>
      <w:spacing w:before="160" w:after="120"/>
      <w:outlineLvl w:val="3"/>
    </w:pPr>
    <w:rPr>
      <w:sz w:val="22"/>
    </w:rPr>
  </w:style>
  <w:style w:type="paragraph" w:styleId="Heading5">
    <w:name w:val="heading 5"/>
    <w:basedOn w:val="HeadingBase"/>
    <w:next w:val="Normal"/>
    <w:link w:val="Heading5Char"/>
    <w:qFormat/>
    <w:rsid w:val="00A3459D"/>
    <w:pPr>
      <w:spacing w:before="80"/>
      <w:outlineLvl w:val="4"/>
    </w:pPr>
    <w:rPr>
      <w:color w:val="918585"/>
      <w:sz w:val="20"/>
    </w:rPr>
  </w:style>
  <w:style w:type="paragraph" w:styleId="Heading6">
    <w:name w:val="heading 6"/>
    <w:basedOn w:val="HeadingBase"/>
    <w:next w:val="Normal"/>
    <w:link w:val="Heading6Char"/>
    <w:qFormat/>
    <w:rsid w:val="00A3459D"/>
    <w:pPr>
      <w:spacing w:before="60"/>
      <w:outlineLvl w:val="5"/>
    </w:pPr>
    <w:rPr>
      <w:color w:val="918585"/>
      <w:sz w:val="20"/>
    </w:rPr>
  </w:style>
  <w:style w:type="paragraph" w:styleId="Heading7">
    <w:name w:val="heading 7"/>
    <w:basedOn w:val="Normal"/>
    <w:next w:val="Normal"/>
    <w:link w:val="Heading7Char"/>
    <w:qFormat/>
    <w:rsid w:val="00A3459D"/>
    <w:pPr>
      <w:ind w:left="720"/>
      <w:outlineLvl w:val="6"/>
    </w:pPr>
    <w:rPr>
      <w:i/>
    </w:rPr>
  </w:style>
  <w:style w:type="paragraph" w:styleId="Heading8">
    <w:name w:val="heading 8"/>
    <w:basedOn w:val="Normal"/>
    <w:next w:val="Normal"/>
    <w:link w:val="Heading8Char"/>
    <w:qFormat/>
    <w:rsid w:val="00A3459D"/>
    <w:pPr>
      <w:ind w:left="720"/>
      <w:outlineLvl w:val="7"/>
    </w:pPr>
    <w:rPr>
      <w:i/>
    </w:rPr>
  </w:style>
  <w:style w:type="paragraph" w:styleId="Heading9">
    <w:name w:val="heading 9"/>
    <w:basedOn w:val="Normal"/>
    <w:next w:val="Normal"/>
    <w:link w:val="Heading9Char"/>
    <w:qFormat/>
    <w:rsid w:val="00A3459D"/>
    <w:pPr>
      <w:ind w:left="720"/>
      <w:outlineLvl w:val="8"/>
    </w:pPr>
    <w:rPr>
      <w:i/>
    </w:rPr>
  </w:style>
  <w:style w:type="character" w:default="1" w:styleId="DefaultParagraphFont">
    <w:name w:val="Default Paragraph Font"/>
    <w:uiPriority w:val="1"/>
    <w:unhideWhenUsed/>
    <w:rsid w:val="00A345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59D"/>
  </w:style>
  <w:style w:type="character" w:customStyle="1" w:styleId="Heading1Char">
    <w:name w:val="Heading 1 Char"/>
    <w:basedOn w:val="DefaultParagraphFont"/>
    <w:link w:val="Heading1"/>
    <w:rsid w:val="00A3459D"/>
    <w:rPr>
      <w:rFonts w:ascii="Times New Roman" w:eastAsia="Times New Roman" w:hAnsi="Times New Roman" w:cs="Times New Roman"/>
      <w:b/>
      <w:sz w:val="32"/>
      <w:szCs w:val="20"/>
      <w:lang w:eastAsia="en-US"/>
    </w:rPr>
  </w:style>
  <w:style w:type="paragraph" w:styleId="BodyText">
    <w:name w:val="Body Text"/>
    <w:basedOn w:val="Normal"/>
    <w:link w:val="BodyTextChar"/>
    <w:rsid w:val="00A345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459D"/>
    <w:rPr>
      <w:rFonts w:ascii="Times New Roman" w:eastAsia="Times New Roman" w:hAnsi="Times New Roman" w:cs="Times New Roman"/>
      <w:sz w:val="24"/>
      <w:lang w:eastAsia="en-US"/>
    </w:rPr>
  </w:style>
  <w:style w:type="character" w:customStyle="1" w:styleId="SpecialBold">
    <w:name w:val="Special Bold"/>
    <w:basedOn w:val="DefaultParagraphFont"/>
    <w:rsid w:val="00A3459D"/>
    <w:rPr>
      <w:b/>
      <w:spacing w:val="0"/>
    </w:rPr>
  </w:style>
  <w:style w:type="paragraph" w:customStyle="1" w:styleId="SuperHeading">
    <w:name w:val="SuperHeading"/>
    <w:basedOn w:val="Normal"/>
    <w:rsid w:val="00A3459D"/>
    <w:pPr>
      <w:spacing w:before="240" w:after="120"/>
      <w:outlineLvl w:val="0"/>
    </w:pPr>
    <w:rPr>
      <w:rFonts w:ascii="Times New Roman" w:hAnsi="Times New Roman"/>
      <w:b/>
      <w:sz w:val="32"/>
    </w:rPr>
  </w:style>
  <w:style w:type="paragraph" w:customStyle="1" w:styleId="AllowPageBreak">
    <w:name w:val="AllowPageBreak"/>
    <w:rsid w:val="00A3459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345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5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5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5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5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5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45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459D"/>
    <w:rPr>
      <w:rFonts w:ascii="Courier New" w:eastAsia="Times New Roman" w:hAnsi="Courier New" w:cs="Times New Roman"/>
      <w:i/>
      <w:szCs w:val="20"/>
      <w:lang w:eastAsia="en-US"/>
    </w:rPr>
  </w:style>
  <w:style w:type="paragraph" w:customStyle="1" w:styleId="HeadingBase">
    <w:name w:val="Heading Base"/>
    <w:rsid w:val="00A345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59D"/>
    <w:pPr>
      <w:tabs>
        <w:tab w:val="right" w:leader="dot" w:pos="9072"/>
      </w:tabs>
      <w:ind w:left="567"/>
    </w:pPr>
    <w:rPr>
      <w:szCs w:val="22"/>
    </w:rPr>
  </w:style>
  <w:style w:type="paragraph" w:customStyle="1" w:styleId="TOCBase">
    <w:name w:val="TOC Base"/>
    <w:rsid w:val="00A345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59D"/>
    <w:pPr>
      <w:tabs>
        <w:tab w:val="right" w:leader="dot" w:pos="9072"/>
      </w:tabs>
      <w:spacing w:before="40" w:after="40"/>
      <w:ind w:left="284"/>
    </w:pPr>
    <w:rPr>
      <w:rFonts w:ascii="Times New Roman" w:hAnsi="Times New Roman"/>
    </w:rPr>
  </w:style>
  <w:style w:type="paragraph" w:styleId="TOC1">
    <w:name w:val="toc 1"/>
    <w:basedOn w:val="TOCBase"/>
    <w:next w:val="Normal"/>
    <w:rsid w:val="00A345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45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59D"/>
    <w:rPr>
      <w:rFonts w:ascii="Times New Roman" w:eastAsia="Times New Roman" w:hAnsi="Times New Roman" w:cs="Times New Roman"/>
      <w:sz w:val="16"/>
      <w:lang w:eastAsia="en-US"/>
    </w:rPr>
  </w:style>
  <w:style w:type="paragraph" w:styleId="Title">
    <w:name w:val="Title"/>
    <w:basedOn w:val="HeadingBase"/>
    <w:link w:val="TitleChar"/>
    <w:qFormat/>
    <w:rsid w:val="00A3459D"/>
    <w:pPr>
      <w:spacing w:before="5040"/>
      <w:jc w:val="center"/>
    </w:pPr>
    <w:rPr>
      <w:sz w:val="48"/>
      <w:szCs w:val="72"/>
      <w:lang w:val="en-US"/>
    </w:rPr>
  </w:style>
  <w:style w:type="character" w:customStyle="1" w:styleId="TitleChar">
    <w:name w:val="Title Char"/>
    <w:basedOn w:val="DefaultParagraphFont"/>
    <w:link w:val="Title"/>
    <w:rsid w:val="00A345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59D"/>
    <w:pPr>
      <w:tabs>
        <w:tab w:val="left" w:pos="3600"/>
        <w:tab w:val="left" w:pos="3958"/>
      </w:tabs>
    </w:pPr>
  </w:style>
  <w:style w:type="paragraph" w:styleId="List">
    <w:name w:val="List"/>
    <w:basedOn w:val="BodyText"/>
    <w:next w:val="BodyText"/>
    <w:rsid w:val="00A3459D"/>
    <w:pPr>
      <w:tabs>
        <w:tab w:val="left" w:pos="340"/>
      </w:tabs>
      <w:spacing w:before="60" w:after="60"/>
      <w:ind w:left="340" w:hanging="340"/>
    </w:pPr>
  </w:style>
  <w:style w:type="paragraph" w:styleId="ListBullet">
    <w:name w:val="List Bullet"/>
    <w:basedOn w:val="List"/>
    <w:rsid w:val="00A3459D"/>
    <w:pPr>
      <w:numPr>
        <w:numId w:val="10"/>
      </w:numPr>
      <w:tabs>
        <w:tab w:val="clear" w:pos="340"/>
      </w:tabs>
      <w:spacing w:before="40" w:after="40"/>
    </w:pPr>
  </w:style>
  <w:style w:type="paragraph" w:customStyle="1" w:styleId="Note">
    <w:name w:val="Note"/>
    <w:basedOn w:val="BodyText"/>
    <w:rsid w:val="00A345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459D"/>
    <w:pPr>
      <w:framePr w:wrap="auto" w:hAnchor="text" w:y="6049"/>
    </w:pPr>
    <w:rPr>
      <w:color w:val="000000"/>
      <w:sz w:val="40"/>
    </w:rPr>
  </w:style>
  <w:style w:type="paragraph" w:customStyle="1" w:styleId="TOCTitle">
    <w:name w:val="TOCTitle"/>
    <w:basedOn w:val="Heading1"/>
    <w:rsid w:val="00A3459D"/>
    <w:pPr>
      <w:spacing w:after="240"/>
      <w:jc w:val="center"/>
      <w:outlineLvl w:val="9"/>
    </w:pPr>
    <w:rPr>
      <w:caps/>
    </w:rPr>
  </w:style>
  <w:style w:type="paragraph" w:customStyle="1" w:styleId="Version">
    <w:name w:val="Version"/>
    <w:rsid w:val="00A345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459D"/>
    <w:pPr>
      <w:numPr>
        <w:numId w:val="11"/>
      </w:numPr>
      <w:tabs>
        <w:tab w:val="clear" w:pos="680"/>
      </w:tabs>
    </w:pPr>
  </w:style>
  <w:style w:type="paragraph" w:styleId="Index1">
    <w:name w:val="index 1"/>
    <w:basedOn w:val="Normal"/>
    <w:next w:val="Normal"/>
    <w:semiHidden/>
    <w:rsid w:val="00A3459D"/>
    <w:pPr>
      <w:keepNext w:val="0"/>
      <w:tabs>
        <w:tab w:val="right" w:pos="4176"/>
      </w:tabs>
      <w:ind w:left="198" w:hanging="198"/>
    </w:pPr>
    <w:rPr>
      <w:rFonts w:ascii="Garamond" w:hAnsi="Garamond"/>
    </w:rPr>
  </w:style>
  <w:style w:type="paragraph" w:styleId="IndexHeading">
    <w:name w:val="index heading"/>
    <w:basedOn w:val="Normal"/>
    <w:next w:val="Index1"/>
    <w:semiHidden/>
    <w:rsid w:val="00A3459D"/>
    <w:pPr>
      <w:spacing w:before="120" w:after="120"/>
    </w:pPr>
    <w:rPr>
      <w:rFonts w:ascii="Arial" w:hAnsi="Arial"/>
      <w:b/>
      <w:color w:val="918585"/>
      <w:sz w:val="24"/>
    </w:rPr>
  </w:style>
  <w:style w:type="paragraph" w:styleId="Header">
    <w:name w:val="header"/>
    <w:basedOn w:val="Normal"/>
    <w:link w:val="HeaderChar"/>
    <w:rsid w:val="00A345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59D"/>
    <w:rPr>
      <w:rFonts w:ascii="Times New Roman" w:eastAsia="Times New Roman" w:hAnsi="Times New Roman" w:cs="Times New Roman"/>
      <w:sz w:val="16"/>
      <w:szCs w:val="20"/>
      <w:lang w:val="en-GB" w:eastAsia="en-US"/>
    </w:rPr>
  </w:style>
  <w:style w:type="paragraph" w:customStyle="1" w:styleId="Chapter">
    <w:name w:val="Chapter"/>
    <w:basedOn w:val="Normal"/>
    <w:rsid w:val="00A3459D"/>
    <w:pPr>
      <w:spacing w:before="240"/>
    </w:pPr>
    <w:rPr>
      <w:rFonts w:ascii="Times New Roman" w:hAnsi="Times New Roman"/>
      <w:smallCaps/>
      <w:spacing w:val="80"/>
      <w:sz w:val="28"/>
    </w:rPr>
  </w:style>
  <w:style w:type="paragraph" w:customStyle="1" w:styleId="InChapter">
    <w:name w:val="InChapter"/>
    <w:basedOn w:val="Heading3"/>
    <w:rsid w:val="00A3459D"/>
    <w:pPr>
      <w:spacing w:after="240"/>
      <w:outlineLvl w:val="9"/>
    </w:pPr>
    <w:rPr>
      <w:noProof/>
    </w:rPr>
  </w:style>
  <w:style w:type="paragraph" w:styleId="Index2">
    <w:name w:val="index 2"/>
    <w:basedOn w:val="Normal"/>
    <w:next w:val="Normal"/>
    <w:semiHidden/>
    <w:rsid w:val="00A3459D"/>
    <w:pPr>
      <w:tabs>
        <w:tab w:val="right" w:pos="4176"/>
      </w:tabs>
      <w:ind w:left="568" w:hanging="284"/>
    </w:pPr>
    <w:rPr>
      <w:rFonts w:ascii="Garamond" w:hAnsi="Garamond"/>
    </w:rPr>
  </w:style>
  <w:style w:type="paragraph" w:customStyle="1" w:styleId="Byline">
    <w:name w:val="Byline"/>
    <w:rsid w:val="00A345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59D"/>
    <w:pPr>
      <w:tabs>
        <w:tab w:val="clear" w:pos="3600"/>
        <w:tab w:val="clear" w:pos="3958"/>
      </w:tabs>
      <w:jc w:val="right"/>
    </w:pPr>
  </w:style>
  <w:style w:type="character" w:styleId="Emphasis">
    <w:name w:val="Emphasis"/>
    <w:basedOn w:val="DefaultParagraphFont"/>
    <w:qFormat/>
    <w:rsid w:val="00A3459D"/>
    <w:rPr>
      <w:i/>
    </w:rPr>
  </w:style>
  <w:style w:type="paragraph" w:styleId="Caption">
    <w:name w:val="caption"/>
    <w:basedOn w:val="BodyText"/>
    <w:next w:val="Normal"/>
    <w:qFormat/>
    <w:rsid w:val="00A3459D"/>
    <w:pPr>
      <w:framePr w:w="2268" w:hSpace="181" w:vSpace="181" w:wrap="around" w:vAnchor="text" w:hAnchor="page" w:x="1135" w:y="285" w:anchorLock="1"/>
    </w:pPr>
    <w:rPr>
      <w:i/>
    </w:rPr>
  </w:style>
  <w:style w:type="paragraph" w:customStyle="1" w:styleId="MiniTOCTitle">
    <w:name w:val="MiniTOCTitle"/>
    <w:basedOn w:val="Heading4"/>
    <w:rsid w:val="00A3459D"/>
    <w:pPr>
      <w:spacing w:before="240"/>
      <w:outlineLvl w:val="9"/>
    </w:pPr>
    <w:rPr>
      <w:noProof/>
      <w:sz w:val="24"/>
    </w:rPr>
  </w:style>
  <w:style w:type="paragraph" w:customStyle="1" w:styleId="MiniTOCItem">
    <w:name w:val="MiniTOCItem"/>
    <w:basedOn w:val="ListBullet"/>
    <w:rsid w:val="00A3459D"/>
    <w:pPr>
      <w:numPr>
        <w:numId w:val="0"/>
      </w:numPr>
      <w:tabs>
        <w:tab w:val="right" w:leader="dot" w:pos="6521"/>
      </w:tabs>
      <w:spacing w:before="0" w:after="0"/>
    </w:pPr>
  </w:style>
  <w:style w:type="paragraph" w:customStyle="1" w:styleId="TOFTitle">
    <w:name w:val="TOFTitle"/>
    <w:basedOn w:val="TOCTitle"/>
    <w:rsid w:val="00A3459D"/>
  </w:style>
  <w:style w:type="paragraph" w:styleId="TableofFigures">
    <w:name w:val="table of figures"/>
    <w:basedOn w:val="Normal"/>
    <w:next w:val="Normal"/>
    <w:semiHidden/>
    <w:rsid w:val="00A3459D"/>
    <w:pPr>
      <w:tabs>
        <w:tab w:val="right" w:leader="dot" w:pos="9072"/>
      </w:tabs>
      <w:ind w:left="970" w:hanging="403"/>
    </w:pPr>
    <w:rPr>
      <w:rFonts w:ascii="Times New Roman" w:hAnsi="Times New Roman"/>
      <w:b/>
    </w:rPr>
  </w:style>
  <w:style w:type="paragraph" w:styleId="ListNumber">
    <w:name w:val="List Number"/>
    <w:basedOn w:val="List"/>
    <w:rsid w:val="00A3459D"/>
    <w:pPr>
      <w:numPr>
        <w:numId w:val="13"/>
      </w:numPr>
      <w:tabs>
        <w:tab w:val="clear" w:pos="340"/>
      </w:tabs>
    </w:pPr>
  </w:style>
  <w:style w:type="character" w:customStyle="1" w:styleId="WingdingSymbols">
    <w:name w:val="Wingding Symbols"/>
    <w:rsid w:val="00A3459D"/>
    <w:rPr>
      <w:rFonts w:ascii="Wingdings" w:hAnsi="Wingdings"/>
    </w:rPr>
  </w:style>
  <w:style w:type="paragraph" w:customStyle="1" w:styleId="TableHeading">
    <w:name w:val="Table Heading"/>
    <w:basedOn w:val="HeadingBase"/>
    <w:rsid w:val="00A3459D"/>
    <w:pPr>
      <w:keepLines/>
      <w:pBdr>
        <w:bottom w:val="single" w:sz="6" w:space="1" w:color="918585"/>
      </w:pBdr>
      <w:spacing w:before="240"/>
    </w:pPr>
  </w:style>
  <w:style w:type="character" w:customStyle="1" w:styleId="HotSpot">
    <w:name w:val="HotSpot"/>
    <w:rsid w:val="00A3459D"/>
    <w:rPr>
      <w:color w:val="0033CC"/>
      <w:u w:val="none"/>
    </w:rPr>
  </w:style>
  <w:style w:type="paragraph" w:customStyle="1" w:styleId="BodyTextRight">
    <w:name w:val="Body Text Right"/>
    <w:basedOn w:val="BodyText"/>
    <w:rsid w:val="00A3459D"/>
    <w:pPr>
      <w:spacing w:before="0" w:after="0"/>
      <w:jc w:val="right"/>
    </w:pPr>
  </w:style>
  <w:style w:type="paragraph" w:styleId="Index3">
    <w:name w:val="index 3"/>
    <w:basedOn w:val="ListNumber2"/>
    <w:next w:val="Normal"/>
    <w:semiHidden/>
    <w:rsid w:val="00A3459D"/>
    <w:pPr>
      <w:numPr>
        <w:numId w:val="0"/>
      </w:numPr>
      <w:tabs>
        <w:tab w:val="right" w:leader="dot" w:pos="4176"/>
      </w:tabs>
    </w:pPr>
  </w:style>
  <w:style w:type="paragraph" w:styleId="ListNumber2">
    <w:name w:val="List Number 2"/>
    <w:basedOn w:val="List2"/>
    <w:rsid w:val="00A3459D"/>
    <w:pPr>
      <w:numPr>
        <w:numId w:val="8"/>
      </w:numPr>
      <w:tabs>
        <w:tab w:val="clear" w:pos="1060"/>
      </w:tabs>
    </w:pPr>
  </w:style>
  <w:style w:type="paragraph" w:customStyle="1" w:styleId="MarginNote">
    <w:name w:val="Margin Note"/>
    <w:basedOn w:val="BodyText"/>
    <w:rsid w:val="00A345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5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5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459D"/>
    <w:rPr>
      <w:sz w:val="32"/>
    </w:rPr>
  </w:style>
  <w:style w:type="paragraph" w:customStyle="1" w:styleId="HeadingProcedure">
    <w:name w:val="Heading Procedure"/>
    <w:basedOn w:val="HeadingBase"/>
    <w:next w:val="Normal"/>
    <w:rsid w:val="00A3459D"/>
    <w:pPr>
      <w:tabs>
        <w:tab w:val="left" w:pos="0"/>
      </w:tabs>
      <w:spacing w:before="120" w:after="60"/>
    </w:pPr>
    <w:rPr>
      <w:i/>
      <w:color w:val="918585"/>
      <w:sz w:val="22"/>
    </w:rPr>
  </w:style>
  <w:style w:type="paragraph" w:customStyle="1" w:styleId="TableBodyText">
    <w:name w:val="Table Body Text"/>
    <w:basedOn w:val="BodyText"/>
    <w:rsid w:val="00A3459D"/>
    <w:pPr>
      <w:spacing w:before="60" w:after="60"/>
    </w:pPr>
  </w:style>
  <w:style w:type="paragraph" w:styleId="ListContinue">
    <w:name w:val="List Continue"/>
    <w:basedOn w:val="List"/>
    <w:rsid w:val="00A3459D"/>
    <w:pPr>
      <w:ind w:firstLine="0"/>
    </w:pPr>
  </w:style>
  <w:style w:type="paragraph" w:customStyle="1" w:styleId="ListNote">
    <w:name w:val="List Note"/>
    <w:basedOn w:val="List"/>
    <w:rsid w:val="00A3459D"/>
    <w:pPr>
      <w:pBdr>
        <w:top w:val="single" w:sz="6" w:space="2" w:color="918585"/>
        <w:bottom w:val="single" w:sz="6" w:space="2" w:color="918585"/>
      </w:pBdr>
      <w:tabs>
        <w:tab w:val="left" w:pos="1021"/>
      </w:tabs>
      <w:ind w:firstLine="0"/>
    </w:pPr>
  </w:style>
  <w:style w:type="paragraph" w:customStyle="1" w:styleId="Warning">
    <w:name w:val="Warning"/>
    <w:basedOn w:val="BodyText"/>
    <w:rsid w:val="00A3459D"/>
    <w:pPr>
      <w:shd w:val="clear" w:color="auto" w:fill="D9D9D9"/>
      <w:tabs>
        <w:tab w:val="left" w:pos="992"/>
      </w:tabs>
      <w:ind w:left="119" w:right="119"/>
    </w:pPr>
    <w:rPr>
      <w:sz w:val="20"/>
    </w:rPr>
  </w:style>
  <w:style w:type="paragraph" w:customStyle="1" w:styleId="MarginIcons">
    <w:name w:val="Margin Icons"/>
    <w:basedOn w:val="BodyText"/>
    <w:rsid w:val="00A345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59D"/>
    <w:rPr>
      <w:rFonts w:ascii="Courier New" w:hAnsi="Courier New"/>
    </w:rPr>
  </w:style>
  <w:style w:type="paragraph" w:customStyle="1" w:styleId="NoteBullet">
    <w:name w:val="Note Bullet"/>
    <w:basedOn w:val="Note"/>
    <w:rsid w:val="00A3459D"/>
    <w:pPr>
      <w:tabs>
        <w:tab w:val="clear" w:pos="680"/>
      </w:tabs>
      <w:spacing w:before="60" w:after="60"/>
    </w:pPr>
  </w:style>
  <w:style w:type="paragraph" w:customStyle="1" w:styleId="SubHeading2">
    <w:name w:val="SubHeading2"/>
    <w:basedOn w:val="HeadingBase"/>
    <w:rsid w:val="00A3459D"/>
    <w:pPr>
      <w:spacing w:before="240" w:after="60"/>
    </w:pPr>
    <w:rPr>
      <w:sz w:val="20"/>
    </w:rPr>
  </w:style>
  <w:style w:type="paragraph" w:customStyle="1" w:styleId="SubHeading1">
    <w:name w:val="SubHeading1"/>
    <w:basedOn w:val="HeadingBase"/>
    <w:rsid w:val="00A3459D"/>
    <w:pPr>
      <w:spacing w:before="240" w:after="60"/>
    </w:pPr>
    <w:rPr>
      <w:color w:val="918585"/>
      <w:sz w:val="22"/>
    </w:rPr>
  </w:style>
  <w:style w:type="paragraph" w:customStyle="1" w:styleId="SideHeading">
    <w:name w:val="Side Heading"/>
    <w:basedOn w:val="HeadingBase"/>
    <w:rsid w:val="00A345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59D"/>
    <w:pPr>
      <w:numPr>
        <w:numId w:val="9"/>
      </w:numPr>
    </w:pPr>
  </w:style>
  <w:style w:type="paragraph" w:styleId="PlainText">
    <w:name w:val="Plain Text"/>
    <w:basedOn w:val="Normal"/>
    <w:link w:val="PlainTextChar"/>
    <w:rsid w:val="00A3459D"/>
    <w:rPr>
      <w:sz w:val="20"/>
    </w:rPr>
  </w:style>
  <w:style w:type="character" w:customStyle="1" w:styleId="PlainTextChar">
    <w:name w:val="Plain Text Char"/>
    <w:basedOn w:val="DefaultParagraphFont"/>
    <w:link w:val="PlainText"/>
    <w:rsid w:val="00A3459D"/>
    <w:rPr>
      <w:rFonts w:ascii="Courier New" w:eastAsia="Times New Roman" w:hAnsi="Courier New" w:cs="Times New Roman"/>
      <w:sz w:val="20"/>
      <w:szCs w:val="20"/>
      <w:lang w:eastAsia="en-US"/>
    </w:rPr>
  </w:style>
  <w:style w:type="character" w:customStyle="1" w:styleId="MenuOption">
    <w:name w:val="Menu Option"/>
    <w:basedOn w:val="DefaultParagraphFont"/>
    <w:rsid w:val="00A3459D"/>
    <w:rPr>
      <w:b/>
      <w:smallCaps/>
    </w:rPr>
  </w:style>
  <w:style w:type="paragraph" w:customStyle="1" w:styleId="TableListNumber">
    <w:name w:val="Table List Number"/>
    <w:basedOn w:val="ListNumber"/>
    <w:rsid w:val="00A3459D"/>
    <w:pPr>
      <w:numPr>
        <w:numId w:val="0"/>
      </w:numPr>
    </w:pPr>
  </w:style>
  <w:style w:type="paragraph" w:styleId="TOC4">
    <w:name w:val="toc 4"/>
    <w:basedOn w:val="TOCBase"/>
    <w:next w:val="Normal"/>
    <w:semiHidden/>
    <w:rsid w:val="00A3459D"/>
    <w:pPr>
      <w:tabs>
        <w:tab w:val="right" w:leader="dot" w:pos="9071"/>
      </w:tabs>
      <w:ind w:left="1701"/>
    </w:pPr>
  </w:style>
  <w:style w:type="paragraph" w:customStyle="1" w:styleId="ListAlpha">
    <w:name w:val="List Alpha"/>
    <w:basedOn w:val="List"/>
    <w:rsid w:val="00A3459D"/>
    <w:pPr>
      <w:numPr>
        <w:numId w:val="7"/>
      </w:numPr>
    </w:pPr>
  </w:style>
  <w:style w:type="paragraph" w:customStyle="1" w:styleId="ListAlpha2">
    <w:name w:val="List Alpha 2"/>
    <w:basedOn w:val="List2"/>
    <w:rsid w:val="00A3459D"/>
    <w:pPr>
      <w:numPr>
        <w:numId w:val="6"/>
      </w:numPr>
    </w:pPr>
  </w:style>
  <w:style w:type="paragraph" w:styleId="List2">
    <w:name w:val="List 2"/>
    <w:basedOn w:val="BodyText"/>
    <w:rsid w:val="00A3459D"/>
    <w:pPr>
      <w:tabs>
        <w:tab w:val="left" w:pos="680"/>
      </w:tabs>
      <w:spacing w:before="60" w:after="60"/>
      <w:ind w:left="680" w:hanging="340"/>
    </w:pPr>
  </w:style>
  <w:style w:type="paragraph" w:styleId="List3">
    <w:name w:val="List 3"/>
    <w:basedOn w:val="BodyText"/>
    <w:rsid w:val="00A3459D"/>
    <w:pPr>
      <w:tabs>
        <w:tab w:val="left" w:pos="1021"/>
      </w:tabs>
      <w:spacing w:before="60" w:after="60"/>
      <w:ind w:left="1020" w:hanging="340"/>
    </w:pPr>
  </w:style>
  <w:style w:type="paragraph" w:styleId="List4">
    <w:name w:val="List 4"/>
    <w:basedOn w:val="BodyText"/>
    <w:rsid w:val="00A3459D"/>
    <w:pPr>
      <w:tabs>
        <w:tab w:val="left" w:pos="1361"/>
      </w:tabs>
      <w:spacing w:before="60" w:after="60"/>
      <w:ind w:left="1361" w:hanging="340"/>
    </w:pPr>
  </w:style>
  <w:style w:type="paragraph" w:styleId="List5">
    <w:name w:val="List 5"/>
    <w:basedOn w:val="BodyText"/>
    <w:rsid w:val="00A3459D"/>
    <w:pPr>
      <w:tabs>
        <w:tab w:val="left" w:pos="1701"/>
      </w:tabs>
      <w:spacing w:before="60" w:after="60"/>
      <w:ind w:left="1701" w:hanging="340"/>
    </w:pPr>
  </w:style>
  <w:style w:type="paragraph" w:styleId="ListBullet3">
    <w:name w:val="List Bullet 3"/>
    <w:basedOn w:val="List3"/>
    <w:rsid w:val="00A3459D"/>
    <w:pPr>
      <w:numPr>
        <w:numId w:val="12"/>
      </w:numPr>
      <w:tabs>
        <w:tab w:val="clear" w:pos="1021"/>
      </w:tabs>
      <w:ind w:left="1037" w:hanging="357"/>
    </w:pPr>
  </w:style>
  <w:style w:type="paragraph" w:styleId="ListBullet4">
    <w:name w:val="List Bullet 4"/>
    <w:basedOn w:val="List4"/>
    <w:rsid w:val="00A3459D"/>
    <w:pPr>
      <w:numPr>
        <w:numId w:val="1"/>
      </w:numPr>
      <w:tabs>
        <w:tab w:val="clear" w:pos="1361"/>
      </w:tabs>
    </w:pPr>
  </w:style>
  <w:style w:type="paragraph" w:styleId="ListBullet5">
    <w:name w:val="List Bullet 5"/>
    <w:basedOn w:val="List5"/>
    <w:rsid w:val="00A3459D"/>
    <w:pPr>
      <w:numPr>
        <w:numId w:val="2"/>
      </w:numPr>
    </w:pPr>
  </w:style>
  <w:style w:type="paragraph" w:styleId="ListContinue2">
    <w:name w:val="List Continue 2"/>
    <w:basedOn w:val="List2"/>
    <w:rsid w:val="00A3459D"/>
    <w:pPr>
      <w:ind w:firstLine="0"/>
    </w:pPr>
  </w:style>
  <w:style w:type="paragraph" w:styleId="ListContinue3">
    <w:name w:val="List Continue 3"/>
    <w:basedOn w:val="List3"/>
    <w:rsid w:val="00A3459D"/>
    <w:pPr>
      <w:ind w:left="1021" w:firstLine="0"/>
    </w:pPr>
  </w:style>
  <w:style w:type="paragraph" w:styleId="ListContinue4">
    <w:name w:val="List Continue 4"/>
    <w:basedOn w:val="List4"/>
    <w:rsid w:val="00A3459D"/>
    <w:pPr>
      <w:ind w:firstLine="0"/>
    </w:pPr>
  </w:style>
  <w:style w:type="paragraph" w:styleId="ListContinue5">
    <w:name w:val="List Continue 5"/>
    <w:basedOn w:val="List5"/>
    <w:rsid w:val="00A3459D"/>
    <w:pPr>
      <w:ind w:firstLine="0"/>
    </w:pPr>
  </w:style>
  <w:style w:type="paragraph" w:styleId="ListNumber3">
    <w:name w:val="List Number 3"/>
    <w:basedOn w:val="List3"/>
    <w:rsid w:val="00A3459D"/>
    <w:pPr>
      <w:numPr>
        <w:numId w:val="3"/>
      </w:numPr>
    </w:pPr>
  </w:style>
  <w:style w:type="paragraph" w:styleId="ListNumber4">
    <w:name w:val="List Number 4"/>
    <w:basedOn w:val="List4"/>
    <w:rsid w:val="00A3459D"/>
    <w:pPr>
      <w:numPr>
        <w:numId w:val="4"/>
      </w:numPr>
    </w:pPr>
  </w:style>
  <w:style w:type="paragraph" w:styleId="ListNumber5">
    <w:name w:val="List Number 5"/>
    <w:basedOn w:val="List5"/>
    <w:rsid w:val="00A3459D"/>
    <w:pPr>
      <w:numPr>
        <w:numId w:val="5"/>
      </w:numPr>
    </w:pPr>
  </w:style>
  <w:style w:type="paragraph" w:styleId="BlockText">
    <w:name w:val="Block Text"/>
    <w:basedOn w:val="Normal"/>
    <w:rsid w:val="00A3459D"/>
    <w:pPr>
      <w:spacing w:after="120"/>
      <w:ind w:left="1440" w:right="1440"/>
    </w:pPr>
  </w:style>
  <w:style w:type="character" w:customStyle="1" w:styleId="Subscript">
    <w:name w:val="Subscript"/>
    <w:basedOn w:val="DefaultParagraphFont"/>
    <w:rsid w:val="00A3459D"/>
    <w:rPr>
      <w:sz w:val="16"/>
      <w:vertAlign w:val="subscript"/>
    </w:rPr>
  </w:style>
  <w:style w:type="character" w:customStyle="1" w:styleId="Superscript">
    <w:name w:val="Superscript"/>
    <w:basedOn w:val="DefaultParagraphFont"/>
    <w:rsid w:val="00A3459D"/>
    <w:rPr>
      <w:sz w:val="16"/>
      <w:vertAlign w:val="superscript"/>
    </w:rPr>
  </w:style>
  <w:style w:type="character" w:customStyle="1" w:styleId="Symbols">
    <w:name w:val="Symbols"/>
    <w:basedOn w:val="DefaultParagraphFont"/>
    <w:rsid w:val="00A3459D"/>
    <w:rPr>
      <w:rFonts w:ascii="Symbol" w:hAnsi="Symbol"/>
    </w:rPr>
  </w:style>
  <w:style w:type="character" w:customStyle="1" w:styleId="MenuOptions">
    <w:name w:val="Menu Options"/>
    <w:basedOn w:val="DefaultParagraphFont"/>
    <w:rsid w:val="00A3459D"/>
    <w:rPr>
      <w:rFonts w:ascii="Arial Narrow" w:hAnsi="Arial Narrow"/>
      <w:smallCaps/>
    </w:rPr>
  </w:style>
  <w:style w:type="character" w:customStyle="1" w:styleId="Buttons">
    <w:name w:val="Buttons"/>
    <w:basedOn w:val="DefaultParagraphFont"/>
    <w:rsid w:val="00A3459D"/>
    <w:rPr>
      <w:b/>
    </w:rPr>
  </w:style>
  <w:style w:type="character" w:customStyle="1" w:styleId="Underlined">
    <w:name w:val="Underlined"/>
    <w:basedOn w:val="DefaultParagraphFont"/>
    <w:rsid w:val="00A3459D"/>
    <w:rPr>
      <w:u w:val="single"/>
    </w:rPr>
  </w:style>
  <w:style w:type="paragraph" w:customStyle="1" w:styleId="TableBodyTextRight">
    <w:name w:val="Table Body Text Right"/>
    <w:basedOn w:val="TableBodyText"/>
    <w:rsid w:val="00A3459D"/>
    <w:pPr>
      <w:widowControl w:val="0"/>
      <w:autoSpaceDE w:val="0"/>
      <w:autoSpaceDN w:val="0"/>
      <w:adjustRightInd w:val="0"/>
      <w:jc w:val="right"/>
    </w:pPr>
    <w:rPr>
      <w:rFonts w:cs="Arial"/>
      <w:szCs w:val="18"/>
    </w:rPr>
  </w:style>
  <w:style w:type="paragraph" w:customStyle="1" w:styleId="CopyrightText">
    <w:name w:val="Copyright Text"/>
    <w:basedOn w:val="BodyText"/>
    <w:rsid w:val="00A3459D"/>
    <w:rPr>
      <w:sz w:val="18"/>
    </w:rPr>
  </w:style>
  <w:style w:type="paragraph" w:customStyle="1" w:styleId="BodySmallRight">
    <w:name w:val="Body Small Right"/>
    <w:basedOn w:val="BodyTextRight"/>
    <w:rsid w:val="00A3459D"/>
    <w:rPr>
      <w:sz w:val="18"/>
      <w:szCs w:val="18"/>
    </w:rPr>
  </w:style>
  <w:style w:type="paragraph" w:customStyle="1" w:styleId="MarginEdition">
    <w:name w:val="Margin Edition"/>
    <w:basedOn w:val="MarginNote"/>
    <w:rsid w:val="00A3459D"/>
    <w:pPr>
      <w:spacing w:before="0" w:after="0"/>
    </w:pPr>
    <w:rPr>
      <w:rFonts w:ascii="Times New Roman" w:hAnsi="Times New Roman"/>
      <w:color w:val="999999"/>
    </w:rPr>
  </w:style>
  <w:style w:type="paragraph" w:customStyle="1" w:styleId="Spacer">
    <w:name w:val="Spacer"/>
    <w:basedOn w:val="Normal"/>
    <w:rsid w:val="00A3459D"/>
    <w:rPr>
      <w:sz w:val="2"/>
      <w:szCs w:val="2"/>
    </w:rPr>
  </w:style>
  <w:style w:type="character" w:customStyle="1" w:styleId="Small">
    <w:name w:val="Small"/>
    <w:basedOn w:val="DefaultParagraphFont"/>
    <w:rsid w:val="00A3459D"/>
    <w:rPr>
      <w:sz w:val="16"/>
    </w:rPr>
  </w:style>
  <w:style w:type="paragraph" w:customStyle="1" w:styleId="WideTable">
    <w:name w:val="Wide Table"/>
    <w:basedOn w:val="Normal"/>
    <w:rsid w:val="00A3459D"/>
    <w:pPr>
      <w:ind w:left="-1418"/>
    </w:pPr>
    <w:rPr>
      <w:sz w:val="2"/>
      <w:szCs w:val="2"/>
    </w:rPr>
  </w:style>
  <w:style w:type="character" w:styleId="PageNumber">
    <w:name w:val="page number"/>
    <w:basedOn w:val="DefaultParagraphFont"/>
    <w:rsid w:val="00A3459D"/>
  </w:style>
  <w:style w:type="paragraph" w:styleId="Quote">
    <w:name w:val="Quote"/>
    <w:basedOn w:val="Heading1"/>
    <w:link w:val="QuoteChar"/>
    <w:qFormat/>
    <w:rsid w:val="00A3459D"/>
    <w:rPr>
      <w:b w:val="0"/>
      <w:sz w:val="72"/>
      <w:szCs w:val="72"/>
      <w:lang w:val="en-NZ"/>
    </w:rPr>
  </w:style>
  <w:style w:type="character" w:customStyle="1" w:styleId="QuoteChar">
    <w:name w:val="Quote Char"/>
    <w:basedOn w:val="DefaultParagraphFont"/>
    <w:link w:val="Quote"/>
    <w:rsid w:val="00A345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59D"/>
    <w:pPr>
      <w:pageBreakBefore/>
    </w:pPr>
  </w:style>
  <w:style w:type="paragraph" w:customStyle="1" w:styleId="Border">
    <w:name w:val="Border"/>
    <w:basedOn w:val="Normal"/>
    <w:qFormat/>
    <w:rsid w:val="00A345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59D"/>
    <w:rPr>
      <w:b/>
      <w:bCs/>
      <w:i/>
      <w:iCs/>
      <w:color w:val="auto"/>
    </w:rPr>
  </w:style>
  <w:style w:type="paragraph" w:styleId="IntenseQuote">
    <w:name w:val="Intense Quote"/>
    <w:basedOn w:val="Normal"/>
    <w:next w:val="Normal"/>
    <w:link w:val="IntenseQuoteChar"/>
    <w:uiPriority w:val="30"/>
    <w:qFormat/>
    <w:rsid w:val="00A345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5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459D"/>
    <w:rPr>
      <w:smallCaps/>
      <w:color w:val="auto"/>
      <w:u w:val="single"/>
    </w:rPr>
  </w:style>
  <w:style w:type="character" w:styleId="IntenseReference">
    <w:name w:val="Intense Reference"/>
    <w:basedOn w:val="DefaultParagraphFont"/>
    <w:uiPriority w:val="32"/>
    <w:qFormat/>
    <w:rsid w:val="00A3459D"/>
    <w:rPr>
      <w:b/>
      <w:bCs/>
      <w:smallCaps/>
      <w:color w:val="auto"/>
      <w:spacing w:val="5"/>
      <w:u w:val="single"/>
    </w:rPr>
  </w:style>
  <w:style w:type="paragraph" w:customStyle="1" w:styleId="2ColumnHeading">
    <w:name w:val="2Column Heading"/>
    <w:basedOn w:val="BodyText"/>
    <w:qFormat/>
    <w:rsid w:val="00A3459D"/>
    <w:pPr>
      <w:spacing w:after="60"/>
      <w:ind w:left="-2268"/>
    </w:pPr>
    <w:rPr>
      <w:b/>
    </w:rPr>
  </w:style>
  <w:style w:type="paragraph" w:customStyle="1" w:styleId="Heading1TOC">
    <w:name w:val="Heading1 TOC"/>
    <w:basedOn w:val="Normal"/>
    <w:qFormat/>
    <w:rsid w:val="00A3459D"/>
    <w:pPr>
      <w:spacing w:before="240" w:after="120"/>
    </w:pPr>
    <w:rPr>
      <w:rFonts w:ascii="Times New Roman" w:hAnsi="Times New Roman"/>
      <w:b/>
      <w:sz w:val="32"/>
    </w:rPr>
  </w:style>
  <w:style w:type="paragraph" w:customStyle="1" w:styleId="Heading2TOC">
    <w:name w:val="Heading2 TOC"/>
    <w:basedOn w:val="Normal"/>
    <w:qFormat/>
    <w:rsid w:val="00A3459D"/>
    <w:pPr>
      <w:spacing w:before="240" w:after="60"/>
    </w:pPr>
    <w:rPr>
      <w:rFonts w:ascii="Times New Roman" w:hAnsi="Times New Roman"/>
      <w:b/>
      <w:sz w:val="28"/>
    </w:rPr>
  </w:style>
  <w:style w:type="character" w:customStyle="1" w:styleId="Underline">
    <w:name w:val="Underline"/>
    <w:basedOn w:val="DefaultParagraphFont"/>
    <w:qFormat/>
    <w:rsid w:val="00A3459D"/>
    <w:rPr>
      <w:u w:val="single"/>
    </w:rPr>
  </w:style>
  <w:style w:type="character" w:customStyle="1" w:styleId="BoldandItalics">
    <w:name w:val="Bold and Italics"/>
    <w:qFormat/>
    <w:rsid w:val="00A3459D"/>
    <w:rPr>
      <w:b/>
      <w:i/>
      <w:u w:val="none"/>
    </w:rPr>
  </w:style>
  <w:style w:type="paragraph" w:styleId="BalloonText">
    <w:name w:val="Balloon Text"/>
    <w:basedOn w:val="Normal"/>
    <w:link w:val="BalloonTextChar"/>
    <w:rsid w:val="00A3459D"/>
    <w:rPr>
      <w:rFonts w:ascii="Tahoma" w:hAnsi="Tahoma" w:cs="Tahoma"/>
      <w:sz w:val="16"/>
      <w:szCs w:val="16"/>
    </w:rPr>
  </w:style>
  <w:style w:type="character" w:customStyle="1" w:styleId="BalloonTextChar">
    <w:name w:val="Balloon Text Char"/>
    <w:basedOn w:val="DefaultParagraphFont"/>
    <w:link w:val="BalloonText"/>
    <w:rsid w:val="00A345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45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45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459D"/>
    <w:rPr>
      <w:b/>
      <w:color w:val="660033"/>
      <w:spacing w:val="0"/>
    </w:rPr>
  </w:style>
  <w:style w:type="paragraph" w:customStyle="1" w:styleId="Nameditemlist">
    <w:name w:val="Named item list"/>
    <w:basedOn w:val="BodyText"/>
    <w:qFormat/>
    <w:rsid w:val="00A3459D"/>
    <w:pPr>
      <w:tabs>
        <w:tab w:val="left" w:pos="2835"/>
      </w:tabs>
      <w:ind w:left="2835" w:hanging="2835"/>
    </w:pPr>
  </w:style>
  <w:style w:type="paragraph" w:customStyle="1" w:styleId="BodyTextnopadding">
    <w:name w:val="Body Text no padding"/>
    <w:basedOn w:val="BodyText"/>
    <w:qFormat/>
    <w:rsid w:val="00A3459D"/>
    <w:pPr>
      <w:spacing w:before="0" w:after="0"/>
    </w:pPr>
  </w:style>
  <w:style w:type="paragraph" w:customStyle="1" w:styleId="BodyTextBold">
    <w:name w:val="Body Text Bold"/>
    <w:basedOn w:val="BodyText"/>
    <w:qFormat/>
    <w:rsid w:val="00A3459D"/>
    <w:rPr>
      <w:b/>
    </w:rPr>
  </w:style>
  <w:style w:type="character" w:styleId="Hyperlink">
    <w:name w:val="Hyperlink"/>
    <w:basedOn w:val="DefaultParagraphFont"/>
    <w:uiPriority w:val="99"/>
    <w:unhideWhenUsed/>
    <w:rsid w:val="00066A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924</Words>
  <Characters>5846</Characters>
  <Application>Microsoft Office Word</Application>
  <DocSecurity>0</DocSecurity>
  <Lines>233</Lines>
  <Paragraphs>92</Paragraphs>
  <ScaleCrop>false</ScaleCrop>
  <Company>Author-it Software Corporation Ltd.</Company>
  <LinksUpToDate>false</LinksUpToDate>
  <CharactersWithSpaces>6678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UETTDREL14 Working safely near live electrical apparatus as a non-electrical worker</dc:title>
  <dc:subject>Approved</dc:subject>
  <dc:creator>Australian Industry Standards</dc:creator>
  <cp:keywords>Release: 1</cp:keywords>
  <dc:description>Review Date: 12 April 2008</dc:description>
  <cp:lastModifiedBy>HSD_TPCMSd.prod</cp:lastModifiedBy>
  <cp:revision>3</cp:revision>
  <dcterms:created xsi:type="dcterms:W3CDTF">2023-01-24T14:31:00Z</dcterms:created>
  <dcterms:modified xsi:type="dcterms:W3CDTF">2023-01-24T14:31:00Z</dcterms:modified>
</cp:coreProperties>
</file>