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F5E" w:rsidP="00596F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UETTDREL14 Working safely near live electrical apparatus as a non-electrical worker</w:t>
      </w:r>
      <w:r>
        <w:fldChar w:fldCharType="end"/>
      </w:r>
    </w:p>
    <w:p w:rsidR="00596F5E" w:rsidP="00596F5E">
      <w:pPr>
        <w:pStyle w:val="Version"/>
        <w:sectPr w:rsidSect="00FC3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12F" w:rsidP="00FC312F">
      <w:pPr>
        <w:pStyle w:val="SuperHeading"/>
      </w:pPr>
      <w:r w:rsidRPr="00FC312F">
        <w:t>Assessment Requirements for UETTDREL14 Working safely near live electrical apparatus as a non-electrical worker</w:t>
      </w:r>
    </w:p>
    <w:p w:rsidR="00000000" w:rsidRPr="00FC312F" w:rsidP="00FC312F">
      <w:pPr>
        <w:pStyle w:val="Heading1"/>
      </w:pPr>
      <w:bookmarkStart w:id="1" w:name="O_1002918"/>
      <w:bookmarkEnd w:id="1"/>
      <w:r w:rsidRPr="00FC31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2F" w:rsidP="00FC312F">
            <w:pPr>
              <w:pStyle w:val="BodyText"/>
            </w:pPr>
            <w:r w:rsidRPr="00FC312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C312F" w:rsidP="00FC312F">
      <w:pPr>
        <w:pStyle w:val="NoPaddingFontSize1"/>
      </w:pPr>
    </w:p>
    <w:p w:rsidR="00000000" w:rsidRPr="00FC312F" w:rsidP="00FC312F">
      <w:pPr>
        <w:pStyle w:val="AllowPageBreak"/>
      </w:pPr>
    </w:p>
    <w:p w:rsidR="00000000" w:rsidRPr="00FC312F" w:rsidP="00FC312F">
      <w:pPr>
        <w:pStyle w:val="Heading1"/>
      </w:pPr>
      <w:bookmarkStart w:id="2" w:name="O_1002919"/>
      <w:bookmarkEnd w:id="2"/>
      <w:r w:rsidRPr="00FC31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2F">
            <w:pPr>
              <w:pStyle w:val="BodyText"/>
              <w:rPr>
                <w:lang w:val="en-NZ"/>
              </w:rPr>
            </w:pPr>
            <w:r w:rsidRPr="00FC312F">
              <w:t>Evidence required to demonstrate competence in this unit must be relevant to a</w:t>
            </w:r>
            <w:r w:rsidRPr="00FC312F">
              <w:t xml:space="preserve">nd satisfy all of the requirements of the elements and performance criteria on at least two separate occasions and include:  </w:t>
            </w:r>
          </w:p>
        </w:tc>
      </w:tr>
      <w:tr w:rsidTr="00FC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2F" w:rsidP="00FC312F">
            <w:pPr>
              <w:pStyle w:val="ListBullet"/>
            </w:pPr>
            <w:r w:rsidRPr="00FC312F">
              <w:t>applying relevant work health and safety (WHS)/occupational health and safety (OHS) requirements, including the use of risk cont</w:t>
            </w:r>
            <w:r w:rsidRPr="00FC312F">
              <w:t>rol measures</w:t>
            </w:r>
          </w:p>
          <w:p w:rsidR="00000000" w:rsidRPr="00FC312F" w:rsidP="00FC312F">
            <w:pPr>
              <w:pStyle w:val="ListBullet"/>
            </w:pPr>
            <w:r w:rsidRPr="00FC312F">
              <w:t>applying sustainable energy principles and practices</w:t>
            </w:r>
          </w:p>
          <w:p w:rsidR="00000000" w:rsidRPr="00FC312F" w:rsidP="00FC312F">
            <w:pPr>
              <w:pStyle w:val="ListBullet"/>
            </w:pPr>
            <w:r w:rsidRPr="00FC312F">
              <w:t>completing all of the following:</w:t>
            </w:r>
          </w:p>
          <w:p w:rsidR="00000000" w:rsidRPr="00FC312F" w:rsidP="00FC312F">
            <w:pPr>
              <w:pStyle w:val="ListBullet2"/>
            </w:pPr>
            <w:r w:rsidRPr="00FC312F">
              <w:t>confirming the safe working zone for safe work and access near live electrical apparatus</w:t>
            </w:r>
          </w:p>
          <w:p w:rsidR="00000000" w:rsidRPr="00FC312F" w:rsidP="00FC312F">
            <w:pPr>
              <w:pStyle w:val="ListBullet2"/>
            </w:pPr>
            <w:r w:rsidRPr="00FC312F">
              <w:t>identifying relevant technical standards, acts, regulations and codes/guidelines</w:t>
            </w:r>
          </w:p>
          <w:p w:rsidR="00000000" w:rsidRPr="00FC312F" w:rsidP="00FC312F">
            <w:pPr>
              <w:pStyle w:val="ListBullet2"/>
            </w:pPr>
            <w:r w:rsidRPr="00FC312F">
              <w:t>identifying established (enterprise) procedures</w:t>
            </w:r>
          </w:p>
          <w:p w:rsidR="00000000" w:rsidRPr="00FC312F" w:rsidP="00FC312F">
            <w:pPr>
              <w:pStyle w:val="ListBullet"/>
            </w:pPr>
            <w:r w:rsidRPr="00FC312F">
              <w:t>completing all of the following:</w:t>
            </w:r>
          </w:p>
          <w:p w:rsidR="00000000" w:rsidRPr="00FC312F" w:rsidP="00FC312F">
            <w:pPr>
              <w:pStyle w:val="ListBullet2"/>
            </w:pPr>
            <w:r w:rsidRPr="00FC312F">
              <w:t>confirming the principles of electricity, the three phase power system, electric shock and r</w:t>
            </w:r>
            <w:r w:rsidRPr="00FC312F">
              <w:t>esuscitation, and power system</w:t>
            </w:r>
          </w:p>
          <w:p w:rsidR="00000000" w:rsidRPr="00FC312F" w:rsidP="00FC312F">
            <w:pPr>
              <w:pStyle w:val="ListBullet2"/>
            </w:pPr>
            <w:r w:rsidRPr="00FC312F">
              <w:t>recognising aerial voltage systems</w:t>
            </w:r>
          </w:p>
          <w:p w:rsidR="00000000" w:rsidRPr="00FC312F" w:rsidP="00FC312F">
            <w:pPr>
              <w:pStyle w:val="ListBullet2"/>
            </w:pPr>
            <w:r w:rsidRPr="00FC312F">
              <w:t>identifying low voltage (LV) aerial circuits</w:t>
            </w:r>
          </w:p>
          <w:p w:rsidR="00000000" w:rsidRPr="00FC312F" w:rsidP="00FC312F">
            <w:pPr>
              <w:pStyle w:val="ListBullet2"/>
            </w:pPr>
            <w:r w:rsidRPr="00FC312F">
              <w:t>identifying high voltage (HV)</w:t>
            </w:r>
          </w:p>
          <w:p w:rsidR="00000000" w:rsidRPr="00FC312F" w:rsidP="00FC312F">
            <w:pPr>
              <w:pStyle w:val="ListBullet"/>
            </w:pPr>
            <w:r w:rsidRPr="00FC312F">
              <w:t>identifying all of the following:</w:t>
            </w:r>
          </w:p>
          <w:p w:rsidR="00000000" w:rsidRPr="00FC312F" w:rsidP="00FC312F">
            <w:pPr>
              <w:pStyle w:val="ListBullet2"/>
            </w:pPr>
            <w:r w:rsidRPr="00FC312F">
              <w:t>procedures in the event of an incident</w:t>
            </w:r>
          </w:p>
          <w:p w:rsidR="00000000" w:rsidRPr="00FC312F" w:rsidP="00FC312F">
            <w:pPr>
              <w:pStyle w:val="ListBullet2"/>
            </w:pPr>
            <w:r w:rsidRPr="00FC312F">
              <w:t>events constituting an incident</w:t>
            </w:r>
          </w:p>
          <w:p w:rsidR="00000000" w:rsidRPr="00FC312F" w:rsidP="00FC312F">
            <w:pPr>
              <w:pStyle w:val="ListBullet2"/>
            </w:pPr>
            <w:r w:rsidRPr="00FC312F">
              <w:t>procedur</w:t>
            </w:r>
            <w:r w:rsidRPr="00FC312F">
              <w:t>es for responding to incidents</w:t>
            </w:r>
          </w:p>
          <w:p w:rsidR="00000000" w:rsidRPr="00FC312F" w:rsidP="00FC312F">
            <w:pPr>
              <w:pStyle w:val="ListBullet2"/>
            </w:pPr>
            <w:r w:rsidRPr="00FC312F">
              <w:t>hazard and risk assessment procedure</w:t>
            </w:r>
          </w:p>
          <w:p w:rsidR="00000000" w:rsidRPr="00FC312F" w:rsidP="00FC312F">
            <w:pPr>
              <w:pStyle w:val="ListBullet2"/>
            </w:pPr>
            <w:r w:rsidRPr="00FC312F">
              <w:t>conduct worksite hazard assessment</w:t>
            </w:r>
          </w:p>
          <w:p w:rsidR="00000000" w:rsidRPr="00FC312F" w:rsidP="00FC312F">
            <w:pPr>
              <w:pStyle w:val="ListBullet2"/>
            </w:pPr>
            <w:r w:rsidRPr="00FC312F">
              <w:t>confirmation of essential components of hazard assessment checks</w:t>
            </w:r>
          </w:p>
          <w:p w:rsidR="00000000" w:rsidRPr="00FC312F" w:rsidP="00FC312F">
            <w:pPr>
              <w:pStyle w:val="ListBullet2"/>
            </w:pPr>
            <w:r w:rsidRPr="00FC312F">
              <w:t>applying hazard identification in electrical work</w:t>
            </w:r>
          </w:p>
          <w:p w:rsidR="00000000" w:rsidRPr="00FC312F" w:rsidP="00FC312F">
            <w:pPr>
              <w:pStyle w:val="ListBullet2"/>
            </w:pPr>
            <w:r w:rsidRPr="00FC312F">
              <w:t>confirmation of the basic safety principles for work on electrical works</w:t>
            </w:r>
          </w:p>
          <w:p w:rsidR="00000000" w:rsidRPr="00FC312F" w:rsidP="00FC312F">
            <w:pPr>
              <w:pStyle w:val="ListBullet2"/>
            </w:pPr>
            <w:r w:rsidRPr="00FC312F">
              <w:t>hazard identification and risk assessment</w:t>
            </w:r>
          </w:p>
          <w:p w:rsidR="00000000" w:rsidRPr="00FC312F" w:rsidP="00FC312F">
            <w:pPr>
              <w:pStyle w:val="ListBullet2"/>
            </w:pPr>
            <w:r w:rsidRPr="00FC312F">
              <w:t>hazard control</w:t>
            </w:r>
          </w:p>
          <w:p w:rsidR="00000000" w:rsidRPr="00FC312F" w:rsidP="00FC312F">
            <w:pPr>
              <w:pStyle w:val="ListBullet2"/>
            </w:pPr>
            <w:r w:rsidRPr="00FC312F">
              <w:t>risk assessment and management (job safety analysis (JSA)) control</w:t>
            </w:r>
          </w:p>
          <w:p w:rsidR="00000000" w:rsidRPr="00FC312F" w:rsidP="00FC312F">
            <w:pPr>
              <w:pStyle w:val="ListBullet2"/>
            </w:pPr>
            <w:r w:rsidRPr="00FC312F">
              <w:t>the hierarchy of controls, including evaluation, worksite h</w:t>
            </w:r>
            <w:r w:rsidRPr="00FC312F">
              <w:t xml:space="preserve">azard and risk assessment checklist, pre-job hazard assessment check (HAC) items, planned inspection and </w:t>
            </w:r>
            <w:r w:rsidRPr="00FC312F">
              <w:t>pre-work hazard risk assessment form</w:t>
            </w:r>
          </w:p>
          <w:p w:rsidR="00000000" w:rsidRPr="00FC312F" w:rsidP="00FC312F">
            <w:pPr>
              <w:pStyle w:val="ListBullet"/>
            </w:pPr>
            <w:r w:rsidRPr="00FC312F">
              <w:t>identifying all of the following:</w:t>
            </w:r>
          </w:p>
          <w:p w:rsidR="00000000" w:rsidRPr="00FC312F" w:rsidP="00FC312F">
            <w:pPr>
              <w:pStyle w:val="ListBullet2"/>
            </w:pPr>
            <w:r w:rsidRPr="00FC312F">
              <w:t>use of work permits and/or authorisation permits</w:t>
            </w:r>
          </w:p>
          <w:p w:rsidR="00000000" w:rsidRPr="00FC312F" w:rsidP="00FC312F">
            <w:pPr>
              <w:pStyle w:val="ListBullet2"/>
            </w:pPr>
            <w:r w:rsidRPr="00FC312F">
              <w:t>sustainable energy principles</w:t>
            </w:r>
            <w:r w:rsidRPr="00FC312F">
              <w:t xml:space="preserve"> and practices</w:t>
            </w:r>
          </w:p>
          <w:p w:rsidR="00000000" w:rsidRPr="00FC312F" w:rsidP="00FC312F">
            <w:pPr>
              <w:pStyle w:val="ListBullet2"/>
            </w:pPr>
            <w:r w:rsidRPr="00FC312F">
              <w:t>possible effects of weather conditions on working near electrical apparatus as a non-electrical worker</w:t>
            </w:r>
          </w:p>
          <w:p w:rsidR="00000000" w:rsidRPr="00FC312F" w:rsidP="00FC312F">
            <w:pPr>
              <w:pStyle w:val="ListBullet"/>
            </w:pPr>
            <w:r w:rsidRPr="00FC312F">
              <w:t>dealing with unplanned events on at least one (1) occasion.</w:t>
            </w:r>
          </w:p>
        </w:tc>
      </w:tr>
    </w:tbl>
    <w:p w:rsidR="00000000" w:rsidRPr="00FC312F" w:rsidP="00FC312F">
      <w:pPr>
        <w:pStyle w:val="NoPaddingFontSize1"/>
      </w:pPr>
    </w:p>
    <w:p w:rsidR="00000000" w:rsidRPr="00FC312F" w:rsidP="00FC312F">
      <w:pPr>
        <w:pStyle w:val="AllowPageBreak"/>
      </w:pPr>
    </w:p>
    <w:p w:rsidR="00000000" w:rsidRPr="00FC312F" w:rsidP="00FC312F">
      <w:pPr>
        <w:pStyle w:val="Heading1"/>
      </w:pPr>
      <w:bookmarkStart w:id="3" w:name="O_1002920"/>
      <w:bookmarkEnd w:id="3"/>
      <w:r w:rsidRPr="00FC31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12F">
            <w:pPr>
              <w:pStyle w:val="BodyText"/>
              <w:rPr>
                <w:lang w:val="en-NZ"/>
              </w:rPr>
            </w:pPr>
            <w:r w:rsidRPr="00FC312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C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2F" w:rsidP="00FC312F">
            <w:pPr>
              <w:pStyle w:val="ListBullet"/>
            </w:pPr>
            <w:r w:rsidRPr="00FC312F">
              <w:t>basic electrical principles encompassing:</w:t>
            </w:r>
          </w:p>
          <w:p w:rsidR="00000000" w:rsidRPr="00FC312F" w:rsidP="00FC312F">
            <w:pPr>
              <w:pStyle w:val="ListBullet2"/>
            </w:pPr>
            <w:r w:rsidRPr="00FC312F">
              <w:t>fundamental units - basic measu</w:t>
            </w:r>
            <w:r w:rsidRPr="00FC312F">
              <w:t>rement of units</w:t>
            </w:r>
          </w:p>
          <w:p w:rsidR="00000000" w:rsidRPr="00FC312F" w:rsidP="00FC312F">
            <w:pPr>
              <w:pStyle w:val="ListBullet2"/>
            </w:pPr>
            <w:r w:rsidRPr="00FC312F">
              <w:t>electrical characteristics of material - characteristics of solid materials; insulators; and terms electrical charge, electrical current and electromagnetic forces</w:t>
            </w:r>
          </w:p>
          <w:p w:rsidR="00000000" w:rsidRPr="00FC312F" w:rsidP="00FC312F">
            <w:pPr>
              <w:pStyle w:val="ListBullet2"/>
            </w:pPr>
            <w:r w:rsidRPr="00FC312F">
              <w:t>nature of electrical current and change - basic rules of electrical current flow</w:t>
            </w:r>
          </w:p>
          <w:p w:rsidR="00000000" w:rsidRPr="00FC312F" w:rsidP="00FC312F">
            <w:pPr>
              <w:pStyle w:val="ListBullet2"/>
            </w:pPr>
            <w:r w:rsidRPr="00FC312F">
              <w:t>sources of electricity - basic fundaments of alternating current (a.c.), direct current (d.c.) and single electromagnetic field source (induction)</w:t>
            </w:r>
          </w:p>
          <w:p w:rsidR="00000000" w:rsidRPr="00FC312F" w:rsidP="00FC312F">
            <w:pPr>
              <w:pStyle w:val="ListBullet2"/>
            </w:pPr>
            <w:r w:rsidRPr="00FC312F">
              <w:t>simple circuits - circuit pr</w:t>
            </w:r>
            <w:r w:rsidRPr="00FC312F">
              <w:t>otection devices used on the network; effects of an open circuit, a closed circuit and a short circuit and earthing – using the ground as a form of conductor to return current back to a source</w:t>
            </w:r>
          </w:p>
          <w:p w:rsidR="00000000" w:rsidRPr="00FC312F" w:rsidP="00FC312F">
            <w:pPr>
              <w:pStyle w:val="ListBullet2"/>
            </w:pPr>
            <w:r w:rsidRPr="00FC312F">
              <w:t>resistance - relationship between voltage and current and resis</w:t>
            </w:r>
            <w:r w:rsidRPr="00FC312F">
              <w:t>tance (Ohms Law)</w:t>
            </w:r>
          </w:p>
          <w:p w:rsidR="00000000" w:rsidRPr="00FC312F" w:rsidP="00FC312F">
            <w:pPr>
              <w:pStyle w:val="ListBullet2"/>
            </w:pPr>
            <w:r w:rsidRPr="00FC312F">
              <w:t>effects of current - physiological effects and protection for physiological effects; basic principle by which electrical current can result in the production of heat, light and electromagnetic fields and typical effects of current</w:t>
            </w:r>
          </w:p>
          <w:p w:rsidR="00000000" w:rsidRPr="00FC312F" w:rsidP="00FC312F">
            <w:pPr>
              <w:pStyle w:val="ListBullet2"/>
            </w:pPr>
            <w:r w:rsidRPr="00FC312F">
              <w:t>three ph</w:t>
            </w:r>
            <w:r w:rsidRPr="00FC312F">
              <w:t>ase and single-phase power systems - star delta configurations, three phase star connections, relationship between line and phase voltages, three phase 4 wire systems - purpose of the neutral</w:t>
            </w:r>
          </w:p>
          <w:p w:rsidR="00000000" w:rsidRPr="00FC312F" w:rsidP="00FC312F">
            <w:pPr>
              <w:pStyle w:val="ListBullet2"/>
            </w:pPr>
            <w:r w:rsidRPr="00FC312F">
              <w:t>consequences of short circuits - arc flash, electricity supply i</w:t>
            </w:r>
            <w:r w:rsidRPr="00FC312F">
              <w:t>ndustry (ESI) protection schemes</w:t>
            </w:r>
          </w:p>
          <w:p w:rsidR="00000000" w:rsidRPr="00FC312F" w:rsidP="00FC312F">
            <w:pPr>
              <w:pStyle w:val="ListBullet2"/>
            </w:pPr>
            <w:r w:rsidRPr="00FC312F">
              <w:t>magnetism - magnetic field patterns, concepts of electromagnetism, effects of electromagnetism and magnetic fields around straight conductors</w:t>
            </w:r>
          </w:p>
          <w:p w:rsidR="00000000" w:rsidRPr="00FC312F" w:rsidP="00FC312F">
            <w:pPr>
              <w:pStyle w:val="ListBullet2"/>
            </w:pPr>
            <w:r w:rsidRPr="00FC312F">
              <w:t>hazards encountered in an ESI environment - touch and step potentials, electric s</w:t>
            </w:r>
            <w:r w:rsidRPr="00FC312F">
              <w:t>hock, fire, chemicals, falls and safe use of tools and equipment</w:t>
            </w:r>
          </w:p>
          <w:p w:rsidR="00000000" w:rsidRPr="00FC312F" w:rsidP="00FC312F">
            <w:pPr>
              <w:pStyle w:val="ListBullet"/>
            </w:pPr>
            <w:r w:rsidRPr="00FC312F">
              <w:t>transmission, distribution and rail power systems encompassing:</w:t>
            </w:r>
          </w:p>
          <w:p w:rsidR="00000000" w:rsidRPr="00FC312F" w:rsidP="00FC312F">
            <w:pPr>
              <w:pStyle w:val="ListBullet2"/>
            </w:pPr>
            <w:r w:rsidRPr="00FC312F">
              <w:t>relationship between the transmission, distribution and rail/tram system within an overall power system - different organisat</w:t>
            </w:r>
            <w:r w:rsidRPr="00FC312F">
              <w:t>ions responsible for generation, transmission, distribution and rail/tram; how they correlate and their functions</w:t>
            </w:r>
          </w:p>
          <w:p w:rsidR="00000000" w:rsidRPr="00FC312F" w:rsidP="00FC312F">
            <w:pPr>
              <w:pStyle w:val="ListBullet2"/>
            </w:pPr>
            <w:r w:rsidRPr="00FC312F">
              <w:t>characteristics of a transmission, distribution and rail system - principal components; typical voltage levels and methods of transmission and</w:t>
            </w:r>
            <w:r w:rsidRPr="00FC312F">
              <w:t xml:space="preserve"> distribution, including grid type transmission systems, radial, parallel and ring main feeders</w:t>
            </w:r>
          </w:p>
          <w:p w:rsidR="00000000" w:rsidRPr="00FC312F" w:rsidP="00FC312F">
            <w:pPr>
              <w:pStyle w:val="ListBullet2"/>
            </w:pPr>
            <w:r w:rsidRPr="00FC312F">
              <w:t xml:space="preserve">relationship between an overhead and underground supply systems within an overall </w:t>
            </w:r>
            <w:r w:rsidRPr="00FC312F">
              <w:t>power system - advantages/disadvantages and applications</w:t>
            </w:r>
          </w:p>
          <w:p w:rsidR="00000000" w:rsidRPr="00FC312F" w:rsidP="00FC312F">
            <w:pPr>
              <w:pStyle w:val="ListBullet2"/>
            </w:pPr>
            <w:r w:rsidRPr="00FC312F">
              <w:t>single line drawings and layouts - drawings and layouts of transmission and distribution systems, including radial, parallel and ring main feeders and the HV equipment associated with substations</w:t>
            </w:r>
          </w:p>
          <w:p w:rsidR="00000000" w:rsidRPr="00FC312F" w:rsidP="00FC312F">
            <w:pPr>
              <w:pStyle w:val="ListBullet"/>
            </w:pPr>
            <w:r w:rsidRPr="00FC312F">
              <w:t>fundamentals for working safely near live electrical appara</w:t>
            </w:r>
            <w:r w:rsidRPr="00FC312F">
              <w:t>tus for non-electrical worker encompassing:</w:t>
            </w:r>
          </w:p>
          <w:p w:rsidR="00000000" w:rsidRPr="00FC312F" w:rsidP="00FC312F">
            <w:pPr>
              <w:pStyle w:val="ListBullet2"/>
            </w:pPr>
            <w:r w:rsidRPr="00FC312F">
              <w:t>standards, guidelines/codes of practice, Commonwealth/state/territory/local government legislation, supply authority regulations and/or enterprise requirements, including relevant certification and licensing app</w:t>
            </w:r>
            <w:r w:rsidRPr="00FC312F">
              <w:t>licable to working safely up to the defined safe working zone near energised electrical apparatus, including electrical powerlines, for non-electrical worker</w:t>
            </w:r>
          </w:p>
          <w:p w:rsidR="00000000" w:rsidRPr="00FC312F" w:rsidP="00FC312F">
            <w:pPr>
              <w:pStyle w:val="ListBullet2"/>
            </w:pPr>
            <w:r w:rsidRPr="00FC312F">
              <w:t>definitions of terminologies - ‘safe working zone’, ‘risk assessment’, ‘safe approach distances (S</w:t>
            </w:r>
            <w:r w:rsidRPr="00FC312F">
              <w:t xml:space="preserve">AD) zones’, ‘safe working distances’,’ work permits’, access authorisation permits’, ‘technical standards’, ‘isolation procedures’ and </w:t>
            </w:r>
            <w:r>
              <w:t>‘</w:t>
            </w:r>
            <w:r w:rsidRPr="00FC312F">
              <w:t>compliance requirements’</w:t>
            </w:r>
          </w:p>
          <w:p w:rsidR="00000000" w:rsidRPr="00FC312F" w:rsidP="00FC312F">
            <w:pPr>
              <w:pStyle w:val="ListBullet2"/>
            </w:pPr>
            <w:r w:rsidRPr="00FC312F">
              <w:t>WHS/OHS policies and procedures for working safely - duties of a safety observer, permit to wor</w:t>
            </w:r>
            <w:r w:rsidRPr="00FC312F">
              <w:t>k systems and isolation procedures, safe application of different types of tools and equipment and operation of mobile plant and machinery (e.g. elevated work platform (EWP)) near live electrical apparatus</w:t>
            </w:r>
          </w:p>
          <w:p w:rsidR="00000000" w:rsidRPr="00FC312F" w:rsidP="00FC312F">
            <w:pPr>
              <w:pStyle w:val="ListBullet2"/>
            </w:pPr>
            <w:r w:rsidRPr="00FC312F">
              <w:t>techniques and precautions in undertaking differen</w:t>
            </w:r>
            <w:r w:rsidRPr="00FC312F">
              <w:t xml:space="preserve">t work functions and working safely up to the defined safe working zone near energised electrical apparatus (including electrical powerlines) for non-electrical worker (work functions that may be performed include vegetation control, scaffolding, rigging, </w:t>
            </w:r>
            <w:r w:rsidRPr="00FC312F">
              <w:t>painting and/or any other activity that requires working safely near live electrical apparatus by a non-electrical worker).</w:t>
            </w:r>
          </w:p>
        </w:tc>
      </w:tr>
    </w:tbl>
    <w:p w:rsidR="00000000" w:rsidRPr="00FC312F" w:rsidP="00FC312F">
      <w:pPr>
        <w:pStyle w:val="NoPaddingFontSize1"/>
      </w:pPr>
    </w:p>
    <w:p w:rsidR="00000000" w:rsidRPr="00FC312F" w:rsidP="00FC312F">
      <w:pPr>
        <w:pStyle w:val="AllowPageBreak"/>
      </w:pPr>
    </w:p>
    <w:p w:rsidR="00000000" w:rsidRPr="00FC312F" w:rsidP="00FC312F">
      <w:pPr>
        <w:pStyle w:val="Heading1"/>
      </w:pPr>
      <w:bookmarkStart w:id="4" w:name="O_1002921"/>
      <w:bookmarkEnd w:id="4"/>
      <w:r w:rsidRPr="00FC31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31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12F" w:rsidP="00FC312F">
            <w:pPr>
              <w:pStyle w:val="BodyText"/>
            </w:pPr>
            <w:r w:rsidRPr="00FC312F">
              <w:t>Assessors must hold credentials specified within the Standards for Registered Training Organisations current at the time of assessment.</w:t>
            </w:r>
          </w:p>
          <w:p w:rsidR="00000000" w:rsidRPr="00FC312F" w:rsidP="00FC312F">
            <w:pPr>
              <w:pStyle w:val="BodyText"/>
            </w:pPr>
            <w:r w:rsidRPr="00FC312F">
              <w:t>Assessment must satisfy the Principles of Assessment and Rules of Evidence and all regulatory requirements included with</w:t>
            </w:r>
            <w:r w:rsidRPr="00FC312F">
              <w:t>in the Standards for Registered Training Organisations current at the time of assessment.</w:t>
            </w:r>
          </w:p>
          <w:p w:rsidR="00000000" w:rsidRPr="00FC312F" w:rsidP="00FC312F">
            <w:pPr>
              <w:pStyle w:val="BodyText"/>
            </w:pPr>
            <w:r w:rsidRPr="00FC312F">
              <w:t>Assessment must occur in workplace operational situations where it is appropriate to do so; where this is not appropriate, assessment must occur in simulated conditio</w:t>
            </w:r>
            <w:r w:rsidRPr="00FC312F">
              <w:t>ns involving realistic and authentic activities that replicate operational workplace conditions.</w:t>
            </w:r>
          </w:p>
          <w:p w:rsidR="00000000" w:rsidRPr="00FC312F" w:rsidP="00FC312F">
            <w:pPr>
              <w:pStyle w:val="BodyText"/>
            </w:pPr>
            <w:r w:rsidRPr="00FC312F">
              <w:t>Assessment processes and techniques must be appropriate to the language, literacy and numeracy requirements of the work being performed and the needs of the ca</w:t>
            </w:r>
            <w:r w:rsidRPr="00FC312F">
              <w:t>ndidate.</w:t>
            </w:r>
          </w:p>
          <w:p w:rsidR="00000000" w:rsidRPr="00FC312F" w:rsidP="00FC312F">
            <w:pPr>
              <w:pStyle w:val="BodyText"/>
            </w:pPr>
            <w:r w:rsidRPr="00FC312F">
              <w:t>Resources for assessment must include access to:</w:t>
            </w:r>
          </w:p>
          <w:p w:rsidR="00000000" w:rsidRPr="00FC312F" w:rsidP="00FC312F">
            <w:pPr>
              <w:pStyle w:val="ListBullet"/>
            </w:pPr>
            <w:r w:rsidRPr="00FC312F">
              <w:t>a range of relevant exercises, case studies and/or other simulations</w:t>
            </w:r>
          </w:p>
          <w:p w:rsidR="00000000" w:rsidRPr="00FC312F" w:rsidP="00FC312F">
            <w:pPr>
              <w:pStyle w:val="ListBullet"/>
            </w:pPr>
            <w:r w:rsidRPr="00FC312F">
              <w:t>relevant and appropriate materials, tools, equipment and personal protective equipment (PPE) currently used in industry</w:t>
            </w:r>
          </w:p>
          <w:p w:rsidR="00000000" w:rsidRPr="00FC312F" w:rsidP="00FC312F">
            <w:pPr>
              <w:pStyle w:val="ListBullet"/>
            </w:pPr>
            <w:r w:rsidRPr="00FC312F">
              <w:t>applicab</w:t>
            </w:r>
            <w:r w:rsidRPr="00FC312F">
              <w:t>le documentation, including workplace procedures, equipment specifications, regulations, codes of practice and operation manuals.</w:t>
            </w:r>
          </w:p>
        </w:tc>
      </w:tr>
    </w:tbl>
    <w:p w:rsidR="00000000" w:rsidRPr="00FC312F" w:rsidP="00FC312F">
      <w:pPr>
        <w:pStyle w:val="NoPaddingFontSize1"/>
      </w:pPr>
    </w:p>
    <w:p w:rsidR="00000000" w:rsidRPr="00FC312F" w:rsidP="00FC312F">
      <w:pPr>
        <w:pStyle w:val="AllowPageBreak"/>
      </w:pPr>
    </w:p>
    <w:p w:rsidR="00000000" w:rsidRPr="00FC312F" w:rsidP="00FC312F">
      <w:pPr>
        <w:pStyle w:val="Heading1"/>
      </w:pPr>
      <w:bookmarkStart w:id="5" w:name="O_1002924"/>
      <w:bookmarkEnd w:id="5"/>
      <w:r w:rsidRPr="00FC312F">
        <w:t>Links</w:t>
      </w:r>
    </w:p>
    <w:p w:rsidR="00000000" w:rsidRPr="00FC312F" w:rsidP="00596F5E">
      <w:pPr>
        <w:pStyle w:val="BodyText"/>
      </w:pPr>
      <w:r w:rsidRPr="00FC312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73C9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C312F" w:rsidP="00FC312F"/>
    <w:sectPr w:rsidSect="00FC31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2F" w:rsidRPr="00596F5E" w:rsidP="00596F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5E" w:rsidP="00FC3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F5E" w:rsidP="00FC3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6F5E" w:rsidP="00FC3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12F" w:rsidRPr="00596F5E" w:rsidP="00596F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5E" w:rsidRPr="002D2AF8" w:rsidP="00FC3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UETTDREL14 Working safely near live electrical apparatus as a non-electrical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96F5E" w:rsidP="00FC3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761A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AC8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B02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12F"/>
  </w:style>
  <w:style w:type="character" w:customStyle="1" w:styleId="Heading1Char">
    <w:name w:val="Heading 1 Char"/>
    <w:basedOn w:val="DefaultParagraphFont"/>
    <w:link w:val="Heading1"/>
    <w:rsid w:val="00FC3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1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1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31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3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3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1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312F"/>
    <w:rPr>
      <w:b/>
      <w:spacing w:val="0"/>
    </w:rPr>
  </w:style>
  <w:style w:type="paragraph" w:customStyle="1" w:styleId="SuperTitle">
    <w:name w:val="SuperTitle"/>
    <w:basedOn w:val="Title"/>
    <w:rsid w:val="00FC3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1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12F"/>
    <w:rPr>
      <w:i/>
    </w:rPr>
  </w:style>
  <w:style w:type="paragraph" w:styleId="Caption">
    <w:name w:val="caption"/>
    <w:basedOn w:val="BodyText"/>
    <w:next w:val="Normal"/>
    <w:qFormat/>
    <w:rsid w:val="00FC3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12F"/>
  </w:style>
  <w:style w:type="paragraph" w:styleId="TableofFigures">
    <w:name w:val="table of figures"/>
    <w:basedOn w:val="Normal"/>
    <w:next w:val="Normal"/>
    <w:semiHidden/>
    <w:rsid w:val="00FC3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1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312F"/>
    <w:rPr>
      <w:rFonts w:ascii="Wingdings" w:hAnsi="Wingdings"/>
    </w:rPr>
  </w:style>
  <w:style w:type="paragraph" w:customStyle="1" w:styleId="TableHeading">
    <w:name w:val="Table Heading"/>
    <w:basedOn w:val="HeadingBase"/>
    <w:rsid w:val="00FC3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12F"/>
    <w:rPr>
      <w:color w:val="0033CC"/>
      <w:u w:val="none"/>
    </w:rPr>
  </w:style>
  <w:style w:type="paragraph" w:customStyle="1" w:styleId="BodyTextRight">
    <w:name w:val="Body Text Right"/>
    <w:basedOn w:val="BodyText"/>
    <w:rsid w:val="00FC3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1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12F"/>
    <w:rPr>
      <w:sz w:val="32"/>
    </w:rPr>
  </w:style>
  <w:style w:type="paragraph" w:customStyle="1" w:styleId="HeadingProcedure">
    <w:name w:val="Heading Procedure"/>
    <w:basedOn w:val="HeadingBase"/>
    <w:next w:val="Normal"/>
    <w:rsid w:val="00FC3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12F"/>
    <w:pPr>
      <w:spacing w:before="60" w:after="60"/>
    </w:pPr>
  </w:style>
  <w:style w:type="paragraph" w:styleId="ListContinue">
    <w:name w:val="List Continue"/>
    <w:basedOn w:val="List"/>
    <w:rsid w:val="00FC312F"/>
    <w:pPr>
      <w:ind w:firstLine="0"/>
    </w:pPr>
  </w:style>
  <w:style w:type="paragraph" w:customStyle="1" w:styleId="ListNote">
    <w:name w:val="List Note"/>
    <w:basedOn w:val="List"/>
    <w:rsid w:val="00FC3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12F"/>
    <w:rPr>
      <w:rFonts w:ascii="Courier New" w:hAnsi="Courier New"/>
    </w:rPr>
  </w:style>
  <w:style w:type="paragraph" w:customStyle="1" w:styleId="NoteBullet">
    <w:name w:val="Note Bullet"/>
    <w:basedOn w:val="Note"/>
    <w:rsid w:val="00FC3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1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3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12F"/>
    <w:rPr>
      <w:b/>
      <w:smallCaps/>
    </w:rPr>
  </w:style>
  <w:style w:type="paragraph" w:customStyle="1" w:styleId="TableListNumber">
    <w:name w:val="Table List Number"/>
    <w:basedOn w:val="ListNumber"/>
    <w:rsid w:val="00FC3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12F"/>
    <w:pPr>
      <w:numPr>
        <w:numId w:val="9"/>
      </w:numPr>
    </w:pPr>
  </w:style>
  <w:style w:type="paragraph" w:customStyle="1" w:styleId="ListAlpha2">
    <w:name w:val="List Alpha 2"/>
    <w:basedOn w:val="List2"/>
    <w:rsid w:val="00FC312F"/>
    <w:pPr>
      <w:numPr>
        <w:numId w:val="8"/>
      </w:numPr>
    </w:pPr>
  </w:style>
  <w:style w:type="paragraph" w:styleId="List2">
    <w:name w:val="List 2"/>
    <w:basedOn w:val="BodyText"/>
    <w:rsid w:val="00FC3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1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1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1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312F"/>
    <w:pPr>
      <w:numPr>
        <w:numId w:val="4"/>
      </w:numPr>
    </w:pPr>
  </w:style>
  <w:style w:type="paragraph" w:styleId="ListContinue2">
    <w:name w:val="List Continue 2"/>
    <w:basedOn w:val="List2"/>
    <w:rsid w:val="00FC312F"/>
    <w:pPr>
      <w:ind w:firstLine="0"/>
    </w:pPr>
  </w:style>
  <w:style w:type="paragraph" w:styleId="ListContinue3">
    <w:name w:val="List Continue 3"/>
    <w:basedOn w:val="List3"/>
    <w:rsid w:val="00FC312F"/>
    <w:pPr>
      <w:ind w:left="1021" w:firstLine="0"/>
    </w:pPr>
  </w:style>
  <w:style w:type="paragraph" w:styleId="ListContinue4">
    <w:name w:val="List Continue 4"/>
    <w:basedOn w:val="List4"/>
    <w:rsid w:val="00FC312F"/>
    <w:pPr>
      <w:ind w:firstLine="0"/>
    </w:pPr>
  </w:style>
  <w:style w:type="paragraph" w:styleId="ListContinue5">
    <w:name w:val="List Continue 5"/>
    <w:basedOn w:val="List5"/>
    <w:rsid w:val="00FC312F"/>
    <w:pPr>
      <w:ind w:firstLine="0"/>
    </w:pPr>
  </w:style>
  <w:style w:type="paragraph" w:styleId="ListNumber3">
    <w:name w:val="List Number 3"/>
    <w:basedOn w:val="List3"/>
    <w:rsid w:val="00FC312F"/>
    <w:pPr>
      <w:numPr>
        <w:numId w:val="5"/>
      </w:numPr>
    </w:pPr>
  </w:style>
  <w:style w:type="paragraph" w:styleId="ListNumber4">
    <w:name w:val="List Number 4"/>
    <w:basedOn w:val="List4"/>
    <w:rsid w:val="00FC312F"/>
    <w:pPr>
      <w:numPr>
        <w:numId w:val="6"/>
      </w:numPr>
    </w:pPr>
  </w:style>
  <w:style w:type="paragraph" w:styleId="ListNumber5">
    <w:name w:val="List Number 5"/>
    <w:basedOn w:val="List5"/>
    <w:rsid w:val="00FC312F"/>
    <w:pPr>
      <w:numPr>
        <w:numId w:val="7"/>
      </w:numPr>
    </w:pPr>
  </w:style>
  <w:style w:type="paragraph" w:styleId="BlockText">
    <w:name w:val="Block Text"/>
    <w:basedOn w:val="Normal"/>
    <w:rsid w:val="00FC3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12F"/>
    <w:rPr>
      <w:sz w:val="16"/>
      <w:vertAlign w:val="superscript"/>
    </w:rPr>
  </w:style>
  <w:style w:type="character" w:customStyle="1" w:styleId="Symbols">
    <w:name w:val="Symbols"/>
    <w:basedOn w:val="DefaultParagraphFont"/>
    <w:rsid w:val="00FC312F"/>
    <w:rPr>
      <w:rFonts w:ascii="Symbol" w:hAnsi="Symbol"/>
    </w:rPr>
  </w:style>
  <w:style w:type="character" w:customStyle="1" w:styleId="MenuOptions">
    <w:name w:val="Menu Options"/>
    <w:basedOn w:val="DefaultParagraphFont"/>
    <w:rsid w:val="00FC3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12F"/>
    <w:rPr>
      <w:b/>
    </w:rPr>
  </w:style>
  <w:style w:type="character" w:customStyle="1" w:styleId="Underlined">
    <w:name w:val="Underlined"/>
    <w:basedOn w:val="DefaultParagraphFont"/>
    <w:rsid w:val="00FC312F"/>
    <w:rPr>
      <w:u w:val="single"/>
    </w:rPr>
  </w:style>
  <w:style w:type="paragraph" w:customStyle="1" w:styleId="TableBodyTextRight">
    <w:name w:val="Table Body Text Right"/>
    <w:basedOn w:val="TableBodyText"/>
    <w:rsid w:val="00FC3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12F"/>
    <w:rPr>
      <w:sz w:val="18"/>
    </w:rPr>
  </w:style>
  <w:style w:type="paragraph" w:customStyle="1" w:styleId="BodySmallRight">
    <w:name w:val="Body Small Right"/>
    <w:basedOn w:val="BodyTextRight"/>
    <w:rsid w:val="00FC312F"/>
    <w:rPr>
      <w:sz w:val="18"/>
      <w:szCs w:val="18"/>
    </w:rPr>
  </w:style>
  <w:style w:type="paragraph" w:customStyle="1" w:styleId="MarginEdition">
    <w:name w:val="Margin Edition"/>
    <w:basedOn w:val="MarginNote"/>
    <w:rsid w:val="00FC3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12F"/>
    <w:rPr>
      <w:sz w:val="2"/>
      <w:szCs w:val="2"/>
    </w:rPr>
  </w:style>
  <w:style w:type="character" w:customStyle="1" w:styleId="Small">
    <w:name w:val="Small"/>
    <w:basedOn w:val="DefaultParagraphFont"/>
    <w:rsid w:val="00FC312F"/>
    <w:rPr>
      <w:sz w:val="16"/>
    </w:rPr>
  </w:style>
  <w:style w:type="paragraph" w:customStyle="1" w:styleId="WideTable">
    <w:name w:val="Wide Table"/>
    <w:basedOn w:val="Normal"/>
    <w:rsid w:val="00FC3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12F"/>
  </w:style>
  <w:style w:type="paragraph" w:styleId="Quote">
    <w:name w:val="Quote"/>
    <w:basedOn w:val="Heading1"/>
    <w:link w:val="QuoteChar"/>
    <w:qFormat/>
    <w:rsid w:val="00FC3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12F"/>
    <w:pPr>
      <w:pageBreakBefore/>
    </w:pPr>
  </w:style>
  <w:style w:type="paragraph" w:customStyle="1" w:styleId="Border">
    <w:name w:val="Border"/>
    <w:basedOn w:val="Normal"/>
    <w:qFormat/>
    <w:rsid w:val="00FC3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12F"/>
    <w:rPr>
      <w:u w:val="single"/>
    </w:rPr>
  </w:style>
  <w:style w:type="character" w:customStyle="1" w:styleId="BoldandItalics">
    <w:name w:val="Bold and Italics"/>
    <w:qFormat/>
    <w:rsid w:val="00FC312F"/>
    <w:rPr>
      <w:b/>
      <w:i/>
      <w:u w:val="none"/>
    </w:rPr>
  </w:style>
  <w:style w:type="paragraph" w:styleId="BalloonText">
    <w:name w:val="Balloon Text"/>
    <w:basedOn w:val="Normal"/>
    <w:link w:val="BalloonTextChar"/>
    <w:rsid w:val="00FC3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12F"/>
    <w:pPr>
      <w:spacing w:before="0" w:after="0"/>
    </w:pPr>
  </w:style>
  <w:style w:type="paragraph" w:customStyle="1" w:styleId="BodyTextBold">
    <w:name w:val="Body Text Bold"/>
    <w:basedOn w:val="BodyText"/>
    <w:qFormat/>
    <w:rsid w:val="00FC312F"/>
    <w:rPr>
      <w:b/>
    </w:rPr>
  </w:style>
  <w:style w:type="character" w:styleId="Hyperlink">
    <w:name w:val="Hyperlink"/>
    <w:basedOn w:val="DefaultParagraphFont"/>
    <w:uiPriority w:val="99"/>
    <w:unhideWhenUsed/>
    <w:rsid w:val="00596F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1055</Words>
  <Characters>6958</Characters>
  <Application>Microsoft Office Word</Application>
  <DocSecurity>0</DocSecurity>
  <Lines>136</Lines>
  <Paragraphs>82</Paragraphs>
  <ScaleCrop>false</ScaleCrop>
  <Company>Author-it Software Corporation Ltd.</Company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UETTDREL14 Working safely near live electrical apparatus as a non-electrical worker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2023-01-24T14:33:00Z</dcterms:created>
  <dcterms:modified xsi:type="dcterms:W3CDTF">2023-01-24T14:33:00Z</dcterms:modified>
</cp:coreProperties>
</file>