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17D" w:rsidP="00EA317D">
      <w:pPr>
        <w:pStyle w:val="Title"/>
      </w:pPr>
      <w:r>
        <w:fldChar w:fldCharType="begin"/>
      </w:r>
      <w:r>
        <w:instrText xml:space="preserve"> TITLE   \* MERGEFORMAT </w:instrText>
      </w:r>
      <w:r>
        <w:fldChar w:fldCharType="separate"/>
      </w:r>
      <w:r>
        <w:t>Assessment Requirements for UETTDREL13 Comply with sustainability, environmental and incidental response policies and procedures</w:t>
      </w:r>
      <w:r>
        <w:fldChar w:fldCharType="end"/>
      </w:r>
    </w:p>
    <w:p w:rsidR="00EA317D" w:rsidP="00EA317D">
      <w:pPr>
        <w:pStyle w:val="Version"/>
        <w:sectPr w:rsidSect="006A22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21C" w:rsidP="006A221C">
      <w:pPr>
        <w:pStyle w:val="SuperHeading"/>
      </w:pPr>
      <w:r w:rsidRPr="006A221C">
        <w:t>Assessment Requirements for UETTDREL13 Comply with sustainability, environmental and incidental response policies and procedures</w:t>
      </w:r>
    </w:p>
    <w:p w:rsidR="00000000" w:rsidRPr="006A221C" w:rsidP="006A221C">
      <w:pPr>
        <w:pStyle w:val="Heading1"/>
      </w:pPr>
      <w:bookmarkStart w:id="1" w:name="O_1002899"/>
      <w:bookmarkEnd w:id="1"/>
      <w:r w:rsidRPr="006A221C">
        <w:t>Modification History</w:t>
      </w:r>
    </w:p>
    <w:tbl>
      <w:tblPr>
        <w:tblW w:w="9497" w:type="dxa"/>
        <w:tblLayout w:type="fixed"/>
        <w:tblCellMar>
          <w:left w:w="62" w:type="dxa"/>
          <w:right w:w="62" w:type="dxa"/>
        </w:tblCellMar>
        <w:tblLook w:val="0000"/>
      </w:tblPr>
      <w:tblGrid>
        <w:gridCol w:w="9497"/>
      </w:tblGrid>
      <w:tr w:rsidTr="006A22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221C" w:rsidP="006A221C">
            <w:pPr>
              <w:pStyle w:val="BodyText"/>
            </w:pPr>
            <w:r w:rsidRPr="006A221C">
              <w:t>Release 1. This is the first release of this unit of competency in the UET Transmission, Distribution and Rail Sector Training Package.</w:t>
            </w:r>
          </w:p>
        </w:tc>
      </w:tr>
    </w:tbl>
    <w:p w:rsidR="00000000" w:rsidRPr="006A221C" w:rsidP="006A221C">
      <w:pPr>
        <w:pStyle w:val="NoPaddingFontSize1"/>
      </w:pPr>
    </w:p>
    <w:p w:rsidR="00000000" w:rsidRPr="006A221C" w:rsidP="006A221C">
      <w:pPr>
        <w:pStyle w:val="AllowPageBreak"/>
      </w:pPr>
    </w:p>
    <w:p w:rsidR="00000000" w:rsidRPr="006A221C" w:rsidP="006A221C">
      <w:pPr>
        <w:pStyle w:val="Heading1"/>
      </w:pPr>
      <w:bookmarkStart w:id="2" w:name="O_1002900"/>
      <w:bookmarkEnd w:id="2"/>
      <w:r w:rsidRPr="006A221C">
        <w:t>Performance Evidence</w:t>
      </w:r>
    </w:p>
    <w:tbl>
      <w:tblPr>
        <w:tblW w:w="9497" w:type="dxa"/>
        <w:tblLayout w:type="fixed"/>
        <w:tblCellMar>
          <w:left w:w="62" w:type="dxa"/>
          <w:right w:w="62" w:type="dxa"/>
        </w:tblCellMar>
        <w:tblLook w:val="0000"/>
      </w:tblPr>
      <w:tblGrid>
        <w:gridCol w:w="9497"/>
      </w:tblGrid>
      <w:tr w:rsidTr="006A22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A221C">
            <w:pPr>
              <w:pStyle w:val="BodyText"/>
              <w:rPr>
                <w:lang w:val="en-NZ"/>
              </w:rPr>
            </w:pPr>
            <w:r w:rsidRPr="006A221C">
              <w:t>Evidence required to demonstrate competence in this unit must be relevant to a</w:t>
            </w:r>
            <w:r w:rsidRPr="006A221C">
              <w:t xml:space="preserve">nd satisfy all of the requirements of the elements and performance criteria on at least two separate occasions and include:  </w:t>
            </w:r>
          </w:p>
        </w:tc>
      </w:tr>
      <w:tr w:rsidTr="006A22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221C" w:rsidP="006A221C">
            <w:pPr>
              <w:pStyle w:val="ListBullet"/>
            </w:pPr>
            <w:r w:rsidRPr="006A221C">
              <w:t>applying relevant work health and safety (WHS)/occupational health and safety (OHS) requirements, including the use of risk cont</w:t>
            </w:r>
            <w:r w:rsidRPr="006A221C">
              <w:t>rol measures</w:t>
            </w:r>
          </w:p>
          <w:p w:rsidR="00000000" w:rsidRPr="006A221C" w:rsidP="006A221C">
            <w:pPr>
              <w:pStyle w:val="ListBullet"/>
            </w:pPr>
            <w:r w:rsidRPr="006A221C">
              <w:t>applying sustainable energy principles and practices</w:t>
            </w:r>
          </w:p>
          <w:p w:rsidR="00000000" w:rsidRPr="006A221C" w:rsidP="006A221C">
            <w:pPr>
              <w:pStyle w:val="ListBullet"/>
            </w:pPr>
            <w:r w:rsidRPr="006A221C">
              <w:t>completing all of the following:</w:t>
            </w:r>
          </w:p>
          <w:p w:rsidR="00000000" w:rsidRPr="006A221C" w:rsidP="006A221C">
            <w:pPr>
              <w:pStyle w:val="ListBullet2"/>
            </w:pPr>
            <w:r w:rsidRPr="006A221C">
              <w:t>identifying potential environmental hazards</w:t>
            </w:r>
          </w:p>
          <w:p w:rsidR="00000000" w:rsidRPr="006A221C" w:rsidP="006A221C">
            <w:pPr>
              <w:pStyle w:val="ListBullet2"/>
            </w:pPr>
            <w:r w:rsidRPr="006A221C">
              <w:t>applying environmental legislation and codes of practice</w:t>
            </w:r>
          </w:p>
          <w:p w:rsidR="00000000" w:rsidRPr="006A221C" w:rsidP="006A221C">
            <w:pPr>
              <w:pStyle w:val="ListBullet2"/>
            </w:pPr>
            <w:r w:rsidRPr="006A221C">
              <w:t>implementing control measures to eliminate/reduce environmental hazards/incidents</w:t>
            </w:r>
          </w:p>
          <w:p w:rsidR="00000000" w:rsidRPr="006A221C" w:rsidP="006A221C">
            <w:pPr>
              <w:pStyle w:val="ListBullet2"/>
            </w:pPr>
            <w:r w:rsidRPr="006A221C">
              <w:t>applying incident reporting/recording/investigation procedures</w:t>
            </w:r>
          </w:p>
          <w:p w:rsidR="00000000" w:rsidRPr="006A221C" w:rsidP="006A221C">
            <w:pPr>
              <w:pStyle w:val="ListBullet2"/>
            </w:pPr>
            <w:r w:rsidRPr="006A221C">
              <w:t>maintaining a safe and clean workplace environment</w:t>
            </w:r>
          </w:p>
          <w:p w:rsidR="00000000" w:rsidRPr="006A221C" w:rsidP="006A221C">
            <w:pPr>
              <w:pStyle w:val="ListBullet2"/>
            </w:pPr>
            <w:r w:rsidRPr="006A221C">
              <w:t>applying safe manual handling techniques</w:t>
            </w:r>
          </w:p>
          <w:p w:rsidR="00000000" w:rsidRPr="006A221C" w:rsidP="006A221C">
            <w:pPr>
              <w:pStyle w:val="ListBullet"/>
            </w:pPr>
            <w:r w:rsidRPr="006A221C">
              <w:t>dealing with unpla</w:t>
            </w:r>
            <w:r w:rsidRPr="006A221C">
              <w:t>nned events on at least one (1) occasion.</w:t>
            </w:r>
          </w:p>
        </w:tc>
      </w:tr>
    </w:tbl>
    <w:p w:rsidR="00000000" w:rsidRPr="006A221C" w:rsidP="006A221C">
      <w:pPr>
        <w:pStyle w:val="NoPaddingFontSize1"/>
      </w:pPr>
    </w:p>
    <w:p w:rsidR="00000000" w:rsidRPr="006A221C" w:rsidP="006A221C">
      <w:pPr>
        <w:pStyle w:val="AllowPageBreak"/>
      </w:pPr>
    </w:p>
    <w:p w:rsidR="00000000" w:rsidRPr="006A221C" w:rsidP="006A221C">
      <w:pPr>
        <w:pStyle w:val="Heading1"/>
      </w:pPr>
      <w:bookmarkStart w:id="3" w:name="O_1002901"/>
      <w:bookmarkEnd w:id="3"/>
      <w:r w:rsidRPr="006A221C">
        <w:t>Knowledge Evidence</w:t>
      </w:r>
    </w:p>
    <w:tbl>
      <w:tblPr>
        <w:tblW w:w="9497" w:type="dxa"/>
        <w:tblLayout w:type="fixed"/>
        <w:tblCellMar>
          <w:left w:w="62" w:type="dxa"/>
          <w:right w:w="62" w:type="dxa"/>
        </w:tblCellMar>
        <w:tblLook w:val="0000"/>
      </w:tblPr>
      <w:tblGrid>
        <w:gridCol w:w="9497"/>
      </w:tblGrid>
      <w:tr w:rsidTr="006A22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A221C">
            <w:pPr>
              <w:pStyle w:val="BodyText"/>
              <w:rPr>
                <w:lang w:val="en-NZ"/>
              </w:rPr>
            </w:pPr>
            <w:r w:rsidRPr="006A221C">
              <w:t xml:space="preserve">Evidence required to demonstrate competence in this unit must be relevant to and satisfy all of the requirements of the elements and performance </w:t>
            </w:r>
            <w:r w:rsidRPr="006A221C">
              <w:t>criteria and include knowledge of:</w:t>
            </w:r>
          </w:p>
        </w:tc>
      </w:tr>
      <w:tr w:rsidTr="006A22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221C" w:rsidP="006A221C">
            <w:pPr>
              <w:pStyle w:val="ListBullet"/>
            </w:pPr>
            <w:r w:rsidRPr="006A221C">
              <w:t>electrical safe working practices encompassing:</w:t>
            </w:r>
          </w:p>
          <w:p w:rsidR="00000000" w:rsidRPr="006A221C" w:rsidP="006A221C">
            <w:pPr>
              <w:pStyle w:val="ListBullet2"/>
            </w:pPr>
            <w:r w:rsidRPr="006A221C">
              <w:t>risk management and assessment of risk - principle and purpose of risk management, and processes for conducting a risk assessment</w:t>
            </w:r>
          </w:p>
          <w:p w:rsidR="00000000" w:rsidRPr="006A221C" w:rsidP="006A221C">
            <w:pPr>
              <w:pStyle w:val="ListBullet2"/>
            </w:pPr>
            <w:r w:rsidRPr="006A221C">
              <w:t>hazards associated with low voltage (LV)</w:t>
            </w:r>
            <w:r w:rsidRPr="006A221C">
              <w:t xml:space="preserve"> , extra-low voltage (ELV) and high currents - arrangement of power distribution and circuits in electrical installations, parts of an electrical system and equipment that operate at LV and ELV, and parts of an electrical system and equipment where high cu</w:t>
            </w:r>
            <w:r w:rsidRPr="006A221C">
              <w:t>rrents are likely</w:t>
            </w:r>
          </w:p>
          <w:p w:rsidR="00000000" w:rsidRPr="006A221C" w:rsidP="006A221C">
            <w:pPr>
              <w:pStyle w:val="ListBullet2"/>
            </w:pPr>
            <w:r w:rsidRPr="006A221C">
              <w:t>risks and control measures associated with high voltage (HV) - parts of an electrical system and equipment that operate at HV, the terms ‘touch voltage’, ‘step voltage’, ‘induced voltage’ and ‘creepage’ as they relate to the hazards of HV</w:t>
            </w:r>
            <w:r w:rsidRPr="006A221C">
              <w:t>, and control measures used for dealing with the hazards of HV</w:t>
            </w:r>
          </w:p>
          <w:p w:rsidR="00000000" w:rsidRPr="006A221C" w:rsidP="006A221C">
            <w:pPr>
              <w:pStyle w:val="ListBullet2"/>
            </w:pPr>
            <w:r w:rsidRPr="006A221C">
              <w:t>optical fibre safety - coherent optical sources and joining procedures, and laser safety class 3a devices or their replacement</w:t>
            </w:r>
          </w:p>
          <w:p w:rsidR="00000000" w:rsidRPr="006A221C" w:rsidP="006A221C">
            <w:pPr>
              <w:pStyle w:val="ListBullet2"/>
            </w:pPr>
            <w:r w:rsidRPr="006A221C">
              <w:t>risks and control measures associated with LV - risks associated with modifying electrical installations; fault finding, maintenance and repair; control measures before, during and after working on electrical installations; circuits or equipment; isolation</w:t>
            </w:r>
            <w:r w:rsidRPr="006A221C">
              <w:t xml:space="preserve"> and tagging-off procedures; risks and restrictions in live work and control measures for live work</w:t>
            </w:r>
          </w:p>
          <w:p w:rsidR="00000000" w:rsidRPr="006A221C" w:rsidP="006A221C">
            <w:pPr>
              <w:pStyle w:val="ListBullet2"/>
            </w:pPr>
            <w:r w:rsidRPr="006A221C">
              <w:t>risks and control measures associated with harmful dusts and airborne contaminants - thermal insulation, fibrous cement materials and asbestos, and other fi</w:t>
            </w:r>
            <w:r w:rsidRPr="006A221C">
              <w:t>bre reinforced switchboard materials</w:t>
            </w:r>
          </w:p>
          <w:p w:rsidR="00000000" w:rsidRPr="006A221C" w:rsidP="006A221C">
            <w:pPr>
              <w:pStyle w:val="ListBullet2"/>
            </w:pPr>
            <w:r w:rsidRPr="006A221C">
              <w:t xml:space="preserve">safety, selection, use, maintenance and care of test equipment - safety characteristics of electrical testing devices, safe use of electrical testing device, and checks and storage methods for maintaining the safety of </w:t>
            </w:r>
            <w:r w:rsidRPr="006A221C">
              <w:t>testing devices</w:t>
            </w:r>
          </w:p>
          <w:p w:rsidR="00000000" w:rsidRPr="006A221C" w:rsidP="006A221C">
            <w:pPr>
              <w:pStyle w:val="ListBullet"/>
            </w:pPr>
            <w:r w:rsidRPr="006A221C">
              <w:t>powerline safety practices encompassing:</w:t>
            </w:r>
          </w:p>
          <w:p w:rsidR="00000000" w:rsidRPr="006A221C" w:rsidP="006A221C">
            <w:pPr>
              <w:pStyle w:val="ListBullet2"/>
            </w:pPr>
            <w:r w:rsidRPr="006A221C">
              <w:t>protective apparatus and apparel for linework - responsibilities for the selection, use, maintenance and storage of protective apparatus and apparel and the types of protective apparatus and appare</w:t>
            </w:r>
            <w:r w:rsidRPr="006A221C">
              <w:t>l used for the line worker</w:t>
            </w:r>
          </w:p>
          <w:p w:rsidR="00000000" w:rsidRPr="006A221C" w:rsidP="006A221C">
            <w:pPr>
              <w:pStyle w:val="ListBullet2"/>
            </w:pPr>
            <w:r w:rsidRPr="006A221C">
              <w:t>requirements for the use of ladders - carrying, erecting, collapsing and lowering different types of extension ladder against a standing pole; maintenance checks on different types of ladders; renewal of extension ropes and the s</w:t>
            </w:r>
            <w:r w:rsidRPr="006A221C">
              <w:t>afety issues relating to clearances from overhead conductors</w:t>
            </w:r>
          </w:p>
          <w:p w:rsidR="00000000" w:rsidRPr="006A221C" w:rsidP="006A221C">
            <w:pPr>
              <w:pStyle w:val="ListBullet2"/>
            </w:pPr>
            <w:r w:rsidRPr="006A221C">
              <w:t xml:space="preserve">requirements for climbing and working aloft - methods used to identify a pole is safe to climb; methods used to inspect a line worker’s body belt; application of knots and hitches appropriate to </w:t>
            </w:r>
            <w:r w:rsidRPr="006A221C">
              <w:t>the requirements of a line worker; height safety principles, including personal fall protection, prevention and related requirements; and the practical procedures of climbing an overhead structure and fitting a pole chair</w:t>
            </w:r>
          </w:p>
          <w:p w:rsidR="00000000" w:rsidRPr="006A221C" w:rsidP="006A221C">
            <w:pPr>
              <w:pStyle w:val="ListBullet2"/>
            </w:pPr>
            <w:r w:rsidRPr="006A221C">
              <w:t>traffic management - purpose of tr</w:t>
            </w:r>
            <w:r w:rsidRPr="006A221C">
              <w:t>affic management and a line worker’s responsibilities in accordance with relevant statutory requirements and electricity supply industry (ESI) requirements, procedures used to provide an effective traffic management scheme and the use of a two-way radio</w:t>
            </w:r>
          </w:p>
          <w:p w:rsidR="00000000" w:rsidRPr="006A221C" w:rsidP="006A221C">
            <w:pPr>
              <w:pStyle w:val="ListBullet2"/>
            </w:pPr>
            <w:r w:rsidRPr="006A221C">
              <w:t>co</w:t>
            </w:r>
            <w:r w:rsidRPr="006A221C">
              <w:t>ntrol of small fires - identification, selection and operation of the appropriate extinguishing mediums for various types of fires; general fire prevention methods; and the precautions for personal protection when fighting small fires</w:t>
            </w:r>
          </w:p>
          <w:p w:rsidR="00000000" w:rsidRPr="006A221C" w:rsidP="006A221C">
            <w:pPr>
              <w:pStyle w:val="ListBullet2"/>
            </w:pPr>
            <w:r w:rsidRPr="006A221C">
              <w:t>rescue victims from h</w:t>
            </w:r>
            <w:r w:rsidRPr="006A221C">
              <w:t xml:space="preserve">eights and confined spaces - planning and identifying  procedures; establishing responses; developing techniques; involvement of external emergency services; and practical demonstration/rehearsals of rescuing a person from heights and from confined spaces </w:t>
            </w:r>
            <w:r w:rsidRPr="006A221C">
              <w:t>and emergency procedures for the rescue of an electric shock victim, including cardiopulmonary resuscitation (CPR)</w:t>
            </w:r>
          </w:p>
          <w:p w:rsidR="00000000" w:rsidRPr="006A221C" w:rsidP="006A221C">
            <w:pPr>
              <w:pStyle w:val="ListBullet2"/>
            </w:pPr>
            <w:r w:rsidRPr="006A221C">
              <w:t>requirements for aerial linework - planning, establishing and implementing relevant aviation authority clearances; determining system require</w:t>
            </w:r>
            <w:r w:rsidRPr="006A221C">
              <w:t>ments; aircrew familiarisation with network operations and equipment and requirements for effective communications operations for aerial work</w:t>
            </w:r>
          </w:p>
          <w:p w:rsidR="00000000" w:rsidRPr="006A221C" w:rsidP="006A221C">
            <w:pPr>
              <w:pStyle w:val="ListBullet"/>
            </w:pPr>
            <w:r w:rsidRPr="006A221C">
              <w:t>enterprise-specific policies and procedure instructions encompassing:</w:t>
            </w:r>
          </w:p>
          <w:p w:rsidR="00000000" w:rsidRPr="006A221C" w:rsidP="006A221C">
            <w:pPr>
              <w:pStyle w:val="ListBullet2"/>
            </w:pPr>
            <w:r w:rsidRPr="006A221C">
              <w:t>responsibilities and duty of care of emplo</w:t>
            </w:r>
            <w:r w:rsidRPr="006A221C">
              <w:t>yer and employee relationship</w:t>
            </w:r>
          </w:p>
          <w:p w:rsidR="00000000" w:rsidRPr="006A221C" w:rsidP="006A221C">
            <w:pPr>
              <w:pStyle w:val="ListBullet2"/>
            </w:pPr>
            <w:r w:rsidRPr="006A221C">
              <w:t>methods of obtaining the up-to-date information on enterprise policies and procedures</w:t>
            </w:r>
          </w:p>
          <w:p w:rsidR="00000000" w:rsidRPr="006A221C" w:rsidP="006A221C">
            <w:pPr>
              <w:pStyle w:val="ListBullet2"/>
            </w:pPr>
            <w:r w:rsidRPr="006A221C">
              <w:t>rules and regulations</w:t>
            </w:r>
          </w:p>
          <w:p w:rsidR="00000000" w:rsidRPr="006A221C" w:rsidP="006A221C">
            <w:pPr>
              <w:pStyle w:val="ListBullet2"/>
            </w:pPr>
            <w:r w:rsidRPr="006A221C">
              <w:t>induction into workplace - location of work area and storage area, timetable, uniform, personal well-being, housekeeping rules, emergency procedures and evacuation procedures</w:t>
            </w:r>
          </w:p>
          <w:p w:rsidR="00000000" w:rsidRPr="006A221C" w:rsidP="006A221C">
            <w:pPr>
              <w:pStyle w:val="ListBullet2"/>
            </w:pPr>
            <w:r w:rsidRPr="006A221C">
              <w:t>techniques when dealing with others - working in teams, customer relation, and co</w:t>
            </w:r>
            <w:r w:rsidRPr="006A221C">
              <w:t>mplaint and issues procedures</w:t>
            </w:r>
          </w:p>
          <w:p w:rsidR="00000000" w:rsidRPr="006A221C" w:rsidP="006A221C">
            <w:pPr>
              <w:pStyle w:val="ListBullet2"/>
            </w:pPr>
            <w:r w:rsidRPr="006A221C">
              <w:t>overview of enterprise professional development - fire-fighting procedures, fatigue management, and training and competency development - understanding and promotion</w:t>
            </w:r>
          </w:p>
          <w:p w:rsidR="00000000" w:rsidRPr="006A221C" w:rsidP="006A221C">
            <w:pPr>
              <w:pStyle w:val="ListBullet"/>
            </w:pPr>
            <w:r w:rsidRPr="006A221C">
              <w:t>enterprise-specific WHS/OHS instructions encompassing:</w:t>
            </w:r>
          </w:p>
          <w:p w:rsidR="00000000" w:rsidRPr="006A221C" w:rsidP="006A221C">
            <w:pPr>
              <w:pStyle w:val="ListBullet2"/>
            </w:pPr>
            <w:r w:rsidRPr="006A221C">
              <w:t>sta</w:t>
            </w:r>
            <w:r w:rsidRPr="006A221C">
              <w:t>ndards, codes, legislation, supply authority regulations and specific enterprise regulations pertaining to WHS/ WHS/OHS policies and procedures</w:t>
            </w:r>
          </w:p>
          <w:p w:rsidR="00000000" w:rsidRPr="006A221C" w:rsidP="006A221C">
            <w:pPr>
              <w:pStyle w:val="ListBullet2"/>
            </w:pPr>
            <w:r w:rsidRPr="006A221C">
              <w:t>specific enterprise personal protection equipment (PPE) - type and application; where and when to be used; metho</w:t>
            </w:r>
            <w:r w:rsidRPr="006A221C">
              <w:t>d of replacement; responsibility of maintenance, including cleaning, inspection and testing; and emergency response, rescue, evacuation and first aid procedures</w:t>
            </w:r>
          </w:p>
          <w:p w:rsidR="00000000" w:rsidRPr="006A221C" w:rsidP="006A221C">
            <w:pPr>
              <w:pStyle w:val="ListBullet2"/>
            </w:pPr>
            <w:r w:rsidRPr="006A221C">
              <w:t>personal wellbeing – hygiene, fatigue/stress management and drugs/alcohol</w:t>
            </w:r>
          </w:p>
          <w:p w:rsidR="00000000" w:rsidRPr="006A221C" w:rsidP="006A221C">
            <w:pPr>
              <w:pStyle w:val="ListBullet2"/>
            </w:pPr>
            <w:r w:rsidRPr="006A221C">
              <w:t>WHS/OHS training - in</w:t>
            </w:r>
            <w:r w:rsidRPr="006A221C">
              <w:t>duction training, specific hazard training, specific task or equipment training, emergency and evacuation training, and training as part of broader programs, such as equipment operation</w:t>
            </w:r>
          </w:p>
          <w:p w:rsidR="00000000" w:rsidRPr="006A221C" w:rsidP="006A221C">
            <w:pPr>
              <w:pStyle w:val="ListBullet2"/>
            </w:pPr>
            <w:r w:rsidRPr="006A221C">
              <w:t>WHS/OHS records - audits; inspection reports; workplace health and env</w:t>
            </w:r>
            <w:r w:rsidRPr="006A221C">
              <w:t>ironmental monitoring records; training and instruction records; manufacturer and supplier information, such as material safety data sheets (MSDS): registers; maintenance reports; workers compensation and rehabilitation records; and first aid/medical recor</w:t>
            </w:r>
            <w:r w:rsidRPr="006A221C">
              <w:t>ds</w:t>
            </w:r>
          </w:p>
          <w:p w:rsidR="00000000" w:rsidRPr="006A221C" w:rsidP="006A221C">
            <w:pPr>
              <w:pStyle w:val="ListBullet"/>
            </w:pPr>
            <w:r w:rsidRPr="006A221C">
              <w:t>environmental fundamentals encompassing:</w:t>
            </w:r>
          </w:p>
          <w:p w:rsidR="00000000" w:rsidRPr="006A221C" w:rsidP="006A221C">
            <w:pPr>
              <w:pStyle w:val="ListBullet2"/>
            </w:pPr>
            <w:r w:rsidRPr="006A221C">
              <w:t>environmental standards, codes, environmental legislation, supply authority regulations and/or enterprise requirements applicable to the control of environment associated with the worksite - relevant federal le</w:t>
            </w:r>
            <w:r w:rsidRPr="006A221C">
              <w:t>gislation, relevant state/territory legislation, relevant local government by-laws, relevant government or quasi government policies and regulations, and relevant community planning and development agreements (including land care agreements)</w:t>
            </w:r>
          </w:p>
          <w:p w:rsidR="00000000" w:rsidRPr="006A221C" w:rsidP="006A221C">
            <w:pPr>
              <w:pStyle w:val="ListBullet2"/>
            </w:pPr>
            <w:r w:rsidRPr="006A221C">
              <w:t>employer and e</w:t>
            </w:r>
            <w:r w:rsidRPr="006A221C">
              <w:t>mployee responsibilities</w:t>
            </w:r>
          </w:p>
          <w:p w:rsidR="00000000" w:rsidRPr="006A221C" w:rsidP="006A221C">
            <w:pPr>
              <w:pStyle w:val="ListBullet2"/>
            </w:pPr>
            <w:r w:rsidRPr="006A221C">
              <w:t>methods of obtaining information on environmental issues and updates</w:t>
            </w:r>
          </w:p>
          <w:p w:rsidR="00000000" w:rsidRPr="006A221C" w:rsidP="006A221C">
            <w:pPr>
              <w:pStyle w:val="ListBullet2"/>
            </w:pPr>
            <w:r w:rsidRPr="006A221C">
              <w:t>methods of identifying environmental impacts from work-related activities</w:t>
            </w:r>
          </w:p>
          <w:p w:rsidR="00000000" w:rsidRPr="006A221C" w:rsidP="006A221C">
            <w:pPr>
              <w:pStyle w:val="ListBullet2"/>
            </w:pPr>
            <w:r w:rsidRPr="006A221C">
              <w:t>meaning of environmental terms - id</w:t>
            </w:r>
            <w:r w:rsidRPr="006A221C">
              <w:t>entification, assessment and control of risks, compliance, best practice and sustainable energy</w:t>
            </w:r>
          </w:p>
          <w:p w:rsidR="00000000" w:rsidRPr="006A221C" w:rsidP="006A221C">
            <w:pPr>
              <w:pStyle w:val="ListBullet2"/>
            </w:pPr>
            <w:r w:rsidRPr="006A221C">
              <w:t>procedures in implementing management plans to ensure compliance</w:t>
            </w:r>
          </w:p>
          <w:p w:rsidR="00000000" w:rsidRPr="006A221C" w:rsidP="006A221C">
            <w:pPr>
              <w:pStyle w:val="ListBullet"/>
            </w:pPr>
            <w:r w:rsidRPr="006A221C">
              <w:t>material handling and the environment encompassing:</w:t>
            </w:r>
          </w:p>
          <w:p w:rsidR="00000000" w:rsidRPr="006A221C" w:rsidP="006A221C">
            <w:pPr>
              <w:pStyle w:val="ListBullet2"/>
            </w:pPr>
            <w:r w:rsidRPr="006A221C">
              <w:t>methods of obtaining updated environmenta</w:t>
            </w:r>
            <w:r w:rsidRPr="006A221C">
              <w:t>l information and data sheets on the proper use and handling of equipment and materials</w:t>
            </w:r>
          </w:p>
          <w:p w:rsidR="00000000" w:rsidRPr="006A221C" w:rsidP="006A221C">
            <w:pPr>
              <w:pStyle w:val="ListBullet2"/>
            </w:pPr>
            <w:r w:rsidRPr="006A221C">
              <w:t>environmental standards, codes, environmental legislation, WHS/OHS legislation, hazardous substances/dangerous goods regulations, supply authority regulations and/or en</w:t>
            </w:r>
            <w:r w:rsidRPr="006A221C">
              <w:t>terprise requirements applicable environmental care when handling materials, including provision of manufacturer and supplier information, such as MSDS</w:t>
            </w:r>
          </w:p>
          <w:p w:rsidR="00000000" w:rsidRPr="006A221C" w:rsidP="006A221C">
            <w:pPr>
              <w:pStyle w:val="ListBullet2"/>
            </w:pPr>
            <w:r w:rsidRPr="006A221C">
              <w:t>types and application of PPE used for hazards substances and dangerous goods</w:t>
            </w:r>
          </w:p>
          <w:p w:rsidR="00000000" w:rsidRPr="006A221C" w:rsidP="006A221C">
            <w:pPr>
              <w:pStyle w:val="ListBullet2"/>
            </w:pPr>
            <w:r w:rsidRPr="006A221C">
              <w:t>techniques in handling equi</w:t>
            </w:r>
            <w:r w:rsidRPr="006A221C">
              <w:t>pment to eliminate/reduce risks to the environment from spillages of oils, herbicides, pesticides and chemicals from equipment, such as vehicle loading crane, chainsaw, enterprise vehicles and explosive power tools</w:t>
            </w:r>
          </w:p>
          <w:p w:rsidR="00000000" w:rsidRPr="006A221C" w:rsidP="006A221C">
            <w:pPr>
              <w:pStyle w:val="ListBullet2"/>
            </w:pPr>
            <w:r w:rsidRPr="006A221C">
              <w:t>procedures for handling and control of sp</w:t>
            </w:r>
            <w:r w:rsidRPr="006A221C">
              <w:t>illages of herbicides</w:t>
            </w:r>
          </w:p>
          <w:p w:rsidR="00000000" w:rsidRPr="006A221C" w:rsidP="006A221C">
            <w:pPr>
              <w:pStyle w:val="ListBullet2"/>
            </w:pPr>
            <w:r w:rsidRPr="006A221C">
              <w:t>methods of disposing and storage of herbicides, pesticides and chemicals</w:t>
            </w:r>
          </w:p>
          <w:p w:rsidR="00000000" w:rsidRPr="006A221C" w:rsidP="006A221C">
            <w:pPr>
              <w:pStyle w:val="ListBullet2"/>
            </w:pPr>
            <w:r w:rsidRPr="006A221C">
              <w:t>methods of cleaning mobile plant, equipment and tools</w:t>
            </w:r>
          </w:p>
          <w:p w:rsidR="00000000" w:rsidRPr="006A221C" w:rsidP="006A221C">
            <w:pPr>
              <w:pStyle w:val="ListBullet2"/>
            </w:pPr>
            <w:r w:rsidRPr="006A221C">
              <w:t>recording of data.</w:t>
            </w:r>
          </w:p>
        </w:tc>
      </w:tr>
    </w:tbl>
    <w:p w:rsidR="00000000" w:rsidRPr="006A221C" w:rsidP="006A221C">
      <w:pPr>
        <w:pStyle w:val="NoPaddingFontSize1"/>
      </w:pPr>
    </w:p>
    <w:p w:rsidR="00000000" w:rsidRPr="006A221C" w:rsidP="006A221C">
      <w:pPr>
        <w:pStyle w:val="AllowPageBreak"/>
      </w:pPr>
    </w:p>
    <w:p w:rsidR="00000000" w:rsidRPr="006A221C" w:rsidP="006A221C">
      <w:pPr>
        <w:pStyle w:val="Heading1"/>
      </w:pPr>
      <w:bookmarkStart w:id="4" w:name="O_1002902"/>
      <w:bookmarkEnd w:id="4"/>
      <w:r w:rsidRPr="006A221C">
        <w:t>Assessment Conditions</w:t>
      </w:r>
    </w:p>
    <w:tbl>
      <w:tblPr>
        <w:tblW w:w="9497" w:type="dxa"/>
        <w:tblLayout w:type="fixed"/>
        <w:tblCellMar>
          <w:left w:w="62" w:type="dxa"/>
          <w:right w:w="62" w:type="dxa"/>
        </w:tblCellMar>
        <w:tblLook w:val="0000"/>
      </w:tblPr>
      <w:tblGrid>
        <w:gridCol w:w="9497"/>
      </w:tblGrid>
      <w:tr w:rsidTr="006A22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221C" w:rsidP="006A221C">
            <w:pPr>
              <w:pStyle w:val="BodyText"/>
            </w:pPr>
            <w:r w:rsidRPr="006A221C">
              <w:t>Assessors must hold credentials specified within the Standards for Registered Training Organisations current at the time of assessment.</w:t>
            </w:r>
          </w:p>
          <w:p w:rsidR="00000000" w:rsidRPr="006A221C" w:rsidP="006A221C">
            <w:pPr>
              <w:pStyle w:val="BodyText"/>
            </w:pPr>
            <w:r w:rsidRPr="006A221C">
              <w:t>Assessment must satisfy the Principles of Assessment and Rules of Evidence and all regulatory requirements included with</w:t>
            </w:r>
            <w:r w:rsidRPr="006A221C">
              <w:t>in the Standards for Registered Training Organisations current at the time of assessment.</w:t>
            </w:r>
          </w:p>
          <w:p w:rsidR="00000000" w:rsidRPr="006A221C" w:rsidP="006A221C">
            <w:pPr>
              <w:pStyle w:val="BodyText"/>
            </w:pPr>
            <w:r w:rsidRPr="006A221C">
              <w:t>Assessment must occur in workplace operational situations where it is appropriate to do so; where this is not appropriate, assessment must occur in simulated conditio</w:t>
            </w:r>
            <w:r w:rsidRPr="006A221C">
              <w:t>ns involving realistic and authentic activities that replicate operational workplace conditions.</w:t>
            </w:r>
          </w:p>
          <w:p w:rsidR="00000000" w:rsidRPr="006A221C" w:rsidP="006A221C">
            <w:pPr>
              <w:pStyle w:val="BodyText"/>
            </w:pPr>
            <w:r w:rsidRPr="006A221C">
              <w:t>Assessment processes and techniques must be appropriate to the language, literacy and numeracy requirements of the work being performed and the needs of the ca</w:t>
            </w:r>
            <w:r w:rsidRPr="006A221C">
              <w:t>ndidate.</w:t>
            </w:r>
          </w:p>
          <w:p w:rsidR="00000000" w:rsidRPr="006A221C" w:rsidP="006A221C">
            <w:pPr>
              <w:pStyle w:val="BodyText"/>
            </w:pPr>
            <w:r w:rsidRPr="006A221C">
              <w:t>Resources for assessment must include access to:</w:t>
            </w:r>
          </w:p>
          <w:p w:rsidR="00000000" w:rsidRPr="006A221C" w:rsidP="006A221C">
            <w:pPr>
              <w:pStyle w:val="ListBullet"/>
            </w:pPr>
            <w:r w:rsidRPr="006A221C">
              <w:t>a range of relevant exercises, case studies and/or other simulations</w:t>
            </w:r>
          </w:p>
          <w:p w:rsidR="00000000" w:rsidRPr="006A221C" w:rsidP="006A221C">
            <w:pPr>
              <w:pStyle w:val="ListBullet"/>
            </w:pPr>
            <w:r w:rsidRPr="006A221C">
              <w:t>relevant and appropriate materials, tools, equipment and PPE currently used in industry</w:t>
            </w:r>
          </w:p>
          <w:p w:rsidR="00000000" w:rsidRPr="006A221C" w:rsidP="006A221C">
            <w:pPr>
              <w:pStyle w:val="ListBullet"/>
            </w:pPr>
            <w:r w:rsidRPr="006A221C">
              <w:t>applicable documentation, including work</w:t>
            </w:r>
            <w:r w:rsidRPr="006A221C">
              <w:t>place procedures, equipment specifications, regulations, codes of practice and operation manuals.</w:t>
            </w:r>
          </w:p>
        </w:tc>
      </w:tr>
    </w:tbl>
    <w:p w:rsidR="00000000" w:rsidRPr="006A221C" w:rsidP="006A221C">
      <w:pPr>
        <w:pStyle w:val="NoPaddingFontSize1"/>
      </w:pPr>
    </w:p>
    <w:p w:rsidR="00000000" w:rsidRPr="006A221C" w:rsidP="006A221C">
      <w:pPr>
        <w:pStyle w:val="AllowPageBreak"/>
      </w:pPr>
    </w:p>
    <w:p w:rsidR="00000000" w:rsidRPr="006A221C" w:rsidP="006A221C">
      <w:pPr>
        <w:pStyle w:val="Heading1"/>
      </w:pPr>
      <w:bookmarkStart w:id="5" w:name="O_1002905"/>
      <w:bookmarkEnd w:id="5"/>
      <w:r w:rsidRPr="006A221C">
        <w:t>Links</w:t>
      </w:r>
    </w:p>
    <w:p w:rsidR="00000000" w:rsidRPr="006A221C" w:rsidP="00EA317D">
      <w:pPr>
        <w:pStyle w:val="BodyText"/>
      </w:pPr>
      <w:r w:rsidRPr="006A221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932B3">
        <w:rPr>
          <w:rStyle w:val="Hyperlink"/>
        </w:rPr>
        <w:t>https://vetnet.gov.au/Pages/TrainingDocs.aspx?q=229bace1-b7bc-4653-9300-dffb13ecfad7</w:t>
      </w:r>
      <w:r>
        <w:fldChar w:fldCharType="end"/>
      </w:r>
    </w:p>
    <w:p w:rsidR="00000000" w:rsidRPr="006A221C" w:rsidP="006A221C"/>
    <w:sectPr w:rsidSect="006A22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2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21C" w:rsidRPr="00EA317D" w:rsidP="00EA31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2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17D" w:rsidP="006A22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317D" w:rsidP="006A221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A317D" w:rsidP="006A22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2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1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221C" w:rsidRPr="00EA317D" w:rsidP="00EA31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2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17D" w:rsidRPr="002D2AF8" w:rsidP="006A221C">
    <w:pPr>
      <w:pStyle w:val="Header"/>
      <w:framePr w:wrap="around"/>
    </w:pPr>
    <w:r>
      <w:fldChar w:fldCharType="begin"/>
    </w:r>
    <w:r>
      <w:instrText xml:space="preserve"> TITLE   \* MERGEFORMAT </w:instrText>
    </w:r>
    <w:r>
      <w:fldChar w:fldCharType="separate"/>
    </w:r>
    <w:r>
      <w:t>Assessment Requirements for UETTDREL13 Comply with sustainability, environmental and incidental response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EA317D" w:rsidP="006A22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A84C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1EA8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F0FC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2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21C"/>
    <w:pPr>
      <w:spacing w:before="360" w:after="60"/>
      <w:outlineLvl w:val="0"/>
    </w:pPr>
    <w:rPr>
      <w:sz w:val="32"/>
    </w:rPr>
  </w:style>
  <w:style w:type="paragraph" w:styleId="Heading2">
    <w:name w:val="heading 2"/>
    <w:basedOn w:val="HeadingBase"/>
    <w:next w:val="BodyText"/>
    <w:link w:val="Heading2Char"/>
    <w:qFormat/>
    <w:rsid w:val="006A221C"/>
    <w:pPr>
      <w:keepLines/>
      <w:spacing w:before="240" w:after="120"/>
      <w:outlineLvl w:val="1"/>
    </w:pPr>
    <w:rPr>
      <w:sz w:val="28"/>
      <w:szCs w:val="40"/>
    </w:rPr>
  </w:style>
  <w:style w:type="paragraph" w:styleId="Heading3">
    <w:name w:val="heading 3"/>
    <w:basedOn w:val="HeadingBase"/>
    <w:next w:val="BodyText"/>
    <w:link w:val="Heading3Char"/>
    <w:qFormat/>
    <w:rsid w:val="006A221C"/>
    <w:pPr>
      <w:spacing w:before="180" w:after="120"/>
      <w:outlineLvl w:val="2"/>
    </w:pPr>
    <w:rPr>
      <w:spacing w:val="-10"/>
      <w:kern w:val="32"/>
    </w:rPr>
  </w:style>
  <w:style w:type="paragraph" w:styleId="Heading4">
    <w:name w:val="heading 4"/>
    <w:basedOn w:val="HeadingBase"/>
    <w:next w:val="BodyText"/>
    <w:link w:val="Heading4Char"/>
    <w:qFormat/>
    <w:rsid w:val="006A221C"/>
    <w:pPr>
      <w:spacing w:before="160" w:after="120"/>
      <w:outlineLvl w:val="3"/>
    </w:pPr>
    <w:rPr>
      <w:sz w:val="22"/>
    </w:rPr>
  </w:style>
  <w:style w:type="paragraph" w:styleId="Heading5">
    <w:name w:val="heading 5"/>
    <w:basedOn w:val="HeadingBase"/>
    <w:next w:val="Normal"/>
    <w:link w:val="Heading5Char"/>
    <w:qFormat/>
    <w:rsid w:val="006A221C"/>
    <w:pPr>
      <w:spacing w:before="80"/>
      <w:outlineLvl w:val="4"/>
    </w:pPr>
    <w:rPr>
      <w:color w:val="918585"/>
      <w:sz w:val="20"/>
    </w:rPr>
  </w:style>
  <w:style w:type="paragraph" w:styleId="Heading6">
    <w:name w:val="heading 6"/>
    <w:basedOn w:val="HeadingBase"/>
    <w:next w:val="Normal"/>
    <w:link w:val="Heading6Char"/>
    <w:qFormat/>
    <w:rsid w:val="006A221C"/>
    <w:pPr>
      <w:spacing w:before="60"/>
      <w:outlineLvl w:val="5"/>
    </w:pPr>
    <w:rPr>
      <w:color w:val="918585"/>
      <w:sz w:val="20"/>
    </w:rPr>
  </w:style>
  <w:style w:type="paragraph" w:styleId="Heading7">
    <w:name w:val="heading 7"/>
    <w:basedOn w:val="Normal"/>
    <w:next w:val="Normal"/>
    <w:link w:val="Heading7Char"/>
    <w:qFormat/>
    <w:rsid w:val="006A221C"/>
    <w:pPr>
      <w:ind w:left="720"/>
      <w:outlineLvl w:val="6"/>
    </w:pPr>
    <w:rPr>
      <w:i/>
    </w:rPr>
  </w:style>
  <w:style w:type="paragraph" w:styleId="Heading8">
    <w:name w:val="heading 8"/>
    <w:basedOn w:val="Normal"/>
    <w:next w:val="Normal"/>
    <w:link w:val="Heading8Char"/>
    <w:qFormat/>
    <w:rsid w:val="006A221C"/>
    <w:pPr>
      <w:ind w:left="720"/>
      <w:outlineLvl w:val="7"/>
    </w:pPr>
    <w:rPr>
      <w:i/>
    </w:rPr>
  </w:style>
  <w:style w:type="paragraph" w:styleId="Heading9">
    <w:name w:val="heading 9"/>
    <w:basedOn w:val="Normal"/>
    <w:next w:val="Normal"/>
    <w:link w:val="Heading9Char"/>
    <w:qFormat/>
    <w:rsid w:val="006A221C"/>
    <w:pPr>
      <w:ind w:left="720"/>
      <w:outlineLvl w:val="8"/>
    </w:pPr>
    <w:rPr>
      <w:i/>
    </w:rPr>
  </w:style>
  <w:style w:type="character" w:default="1" w:styleId="DefaultParagraphFont">
    <w:name w:val="Default Paragraph Font"/>
    <w:uiPriority w:val="1"/>
    <w:unhideWhenUsed/>
    <w:rsid w:val="006A22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21C"/>
  </w:style>
  <w:style w:type="character" w:customStyle="1" w:styleId="Heading1Char">
    <w:name w:val="Heading 1 Char"/>
    <w:basedOn w:val="DefaultParagraphFont"/>
    <w:link w:val="Heading1"/>
    <w:rsid w:val="006A221C"/>
    <w:rPr>
      <w:rFonts w:ascii="Times New Roman" w:eastAsia="Times New Roman" w:hAnsi="Times New Roman" w:cs="Times New Roman"/>
      <w:b/>
      <w:sz w:val="32"/>
      <w:szCs w:val="20"/>
      <w:lang w:eastAsia="en-US"/>
    </w:rPr>
  </w:style>
  <w:style w:type="paragraph" w:styleId="BodyText">
    <w:name w:val="Body Text"/>
    <w:basedOn w:val="Normal"/>
    <w:link w:val="BodyTextChar"/>
    <w:rsid w:val="006A22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221C"/>
    <w:rPr>
      <w:rFonts w:ascii="Times New Roman" w:eastAsia="Times New Roman" w:hAnsi="Times New Roman" w:cs="Times New Roman"/>
      <w:sz w:val="24"/>
      <w:lang w:eastAsia="en-US"/>
    </w:rPr>
  </w:style>
  <w:style w:type="paragraph" w:styleId="ListBullet">
    <w:name w:val="List Bullet"/>
    <w:basedOn w:val="List"/>
    <w:rsid w:val="006A221C"/>
    <w:pPr>
      <w:numPr>
        <w:numId w:val="12"/>
      </w:numPr>
      <w:tabs>
        <w:tab w:val="clear" w:pos="340"/>
      </w:tabs>
      <w:spacing w:before="40" w:after="40"/>
    </w:pPr>
  </w:style>
  <w:style w:type="paragraph" w:styleId="ListBullet2">
    <w:name w:val="List Bullet 2"/>
    <w:basedOn w:val="List2"/>
    <w:rsid w:val="006A221C"/>
    <w:pPr>
      <w:numPr>
        <w:numId w:val="13"/>
      </w:numPr>
      <w:tabs>
        <w:tab w:val="clear" w:pos="680"/>
      </w:tabs>
    </w:pPr>
  </w:style>
  <w:style w:type="paragraph" w:customStyle="1" w:styleId="SuperHeading">
    <w:name w:val="SuperHeading"/>
    <w:basedOn w:val="Normal"/>
    <w:rsid w:val="006A221C"/>
    <w:pPr>
      <w:spacing w:before="240" w:after="120"/>
      <w:outlineLvl w:val="0"/>
    </w:pPr>
    <w:rPr>
      <w:rFonts w:ascii="Times New Roman" w:hAnsi="Times New Roman"/>
      <w:b/>
      <w:sz w:val="32"/>
    </w:rPr>
  </w:style>
  <w:style w:type="paragraph" w:customStyle="1" w:styleId="AllowPageBreak">
    <w:name w:val="AllowPageBreak"/>
    <w:rsid w:val="006A22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A22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2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2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2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2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2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2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21C"/>
    <w:rPr>
      <w:rFonts w:ascii="Courier New" w:eastAsia="Times New Roman" w:hAnsi="Courier New" w:cs="Times New Roman"/>
      <w:i/>
      <w:szCs w:val="20"/>
      <w:lang w:eastAsia="en-US"/>
    </w:rPr>
  </w:style>
  <w:style w:type="paragraph" w:customStyle="1" w:styleId="HeadingBase">
    <w:name w:val="Heading Base"/>
    <w:rsid w:val="006A22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21C"/>
    <w:pPr>
      <w:tabs>
        <w:tab w:val="right" w:leader="dot" w:pos="9072"/>
      </w:tabs>
      <w:ind w:left="567"/>
    </w:pPr>
    <w:rPr>
      <w:szCs w:val="22"/>
    </w:rPr>
  </w:style>
  <w:style w:type="paragraph" w:customStyle="1" w:styleId="TOCBase">
    <w:name w:val="TOC Base"/>
    <w:rsid w:val="006A22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21C"/>
    <w:pPr>
      <w:tabs>
        <w:tab w:val="right" w:leader="dot" w:pos="9072"/>
      </w:tabs>
      <w:spacing w:before="40" w:after="40"/>
      <w:ind w:left="284"/>
    </w:pPr>
    <w:rPr>
      <w:rFonts w:ascii="Times New Roman" w:hAnsi="Times New Roman"/>
    </w:rPr>
  </w:style>
  <w:style w:type="paragraph" w:styleId="TOC1">
    <w:name w:val="toc 1"/>
    <w:basedOn w:val="TOCBase"/>
    <w:next w:val="Normal"/>
    <w:rsid w:val="006A22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2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21C"/>
    <w:rPr>
      <w:rFonts w:ascii="Times New Roman" w:eastAsia="Times New Roman" w:hAnsi="Times New Roman" w:cs="Times New Roman"/>
      <w:sz w:val="16"/>
      <w:lang w:eastAsia="en-US"/>
    </w:rPr>
  </w:style>
  <w:style w:type="paragraph" w:styleId="Title">
    <w:name w:val="Title"/>
    <w:basedOn w:val="HeadingBase"/>
    <w:link w:val="TitleChar"/>
    <w:qFormat/>
    <w:rsid w:val="006A221C"/>
    <w:pPr>
      <w:spacing w:before="5040"/>
      <w:jc w:val="center"/>
    </w:pPr>
    <w:rPr>
      <w:sz w:val="48"/>
      <w:szCs w:val="72"/>
      <w:lang w:val="en-US"/>
    </w:rPr>
  </w:style>
  <w:style w:type="character" w:customStyle="1" w:styleId="TitleChar">
    <w:name w:val="Title Char"/>
    <w:basedOn w:val="DefaultParagraphFont"/>
    <w:link w:val="Title"/>
    <w:rsid w:val="006A22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21C"/>
    <w:pPr>
      <w:tabs>
        <w:tab w:val="left" w:pos="3600"/>
        <w:tab w:val="left" w:pos="3958"/>
      </w:tabs>
    </w:pPr>
  </w:style>
  <w:style w:type="paragraph" w:styleId="List">
    <w:name w:val="List"/>
    <w:basedOn w:val="BodyText"/>
    <w:next w:val="BodyText"/>
    <w:rsid w:val="006A221C"/>
    <w:pPr>
      <w:tabs>
        <w:tab w:val="left" w:pos="340"/>
      </w:tabs>
      <w:spacing w:before="60" w:after="60"/>
      <w:ind w:left="340" w:hanging="340"/>
    </w:pPr>
  </w:style>
  <w:style w:type="paragraph" w:customStyle="1" w:styleId="Note">
    <w:name w:val="Note"/>
    <w:basedOn w:val="BodyText"/>
    <w:rsid w:val="006A22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221C"/>
    <w:rPr>
      <w:b/>
      <w:spacing w:val="0"/>
    </w:rPr>
  </w:style>
  <w:style w:type="paragraph" w:customStyle="1" w:styleId="SuperTitle">
    <w:name w:val="SuperTitle"/>
    <w:basedOn w:val="Title"/>
    <w:rsid w:val="006A221C"/>
    <w:pPr>
      <w:framePr w:wrap="auto" w:hAnchor="text" w:y="6049"/>
    </w:pPr>
    <w:rPr>
      <w:color w:val="000000"/>
      <w:sz w:val="40"/>
    </w:rPr>
  </w:style>
  <w:style w:type="paragraph" w:customStyle="1" w:styleId="TOCTitle">
    <w:name w:val="TOCTitle"/>
    <w:basedOn w:val="Heading1"/>
    <w:rsid w:val="006A221C"/>
    <w:pPr>
      <w:spacing w:after="240"/>
      <w:jc w:val="center"/>
      <w:outlineLvl w:val="9"/>
    </w:pPr>
    <w:rPr>
      <w:caps/>
    </w:rPr>
  </w:style>
  <w:style w:type="paragraph" w:customStyle="1" w:styleId="Version">
    <w:name w:val="Version"/>
    <w:rsid w:val="006A22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221C"/>
    <w:pPr>
      <w:keepNext w:val="0"/>
      <w:tabs>
        <w:tab w:val="right" w:pos="4176"/>
      </w:tabs>
      <w:ind w:left="198" w:hanging="198"/>
    </w:pPr>
    <w:rPr>
      <w:rFonts w:ascii="Garamond" w:hAnsi="Garamond"/>
    </w:rPr>
  </w:style>
  <w:style w:type="paragraph" w:styleId="IndexHeading">
    <w:name w:val="index heading"/>
    <w:basedOn w:val="Normal"/>
    <w:next w:val="Index1"/>
    <w:semiHidden/>
    <w:rsid w:val="006A221C"/>
    <w:pPr>
      <w:spacing w:before="120" w:after="120"/>
    </w:pPr>
    <w:rPr>
      <w:rFonts w:ascii="Arial" w:hAnsi="Arial"/>
      <w:b/>
      <w:color w:val="918585"/>
      <w:sz w:val="24"/>
    </w:rPr>
  </w:style>
  <w:style w:type="paragraph" w:styleId="Header">
    <w:name w:val="header"/>
    <w:basedOn w:val="Normal"/>
    <w:link w:val="HeaderChar"/>
    <w:rsid w:val="006A22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21C"/>
    <w:rPr>
      <w:rFonts w:ascii="Times New Roman" w:eastAsia="Times New Roman" w:hAnsi="Times New Roman" w:cs="Times New Roman"/>
      <w:sz w:val="16"/>
      <w:szCs w:val="20"/>
      <w:lang w:val="en-GB" w:eastAsia="en-US"/>
    </w:rPr>
  </w:style>
  <w:style w:type="paragraph" w:customStyle="1" w:styleId="Chapter">
    <w:name w:val="Chapter"/>
    <w:basedOn w:val="Normal"/>
    <w:rsid w:val="006A221C"/>
    <w:pPr>
      <w:spacing w:before="240"/>
    </w:pPr>
    <w:rPr>
      <w:rFonts w:ascii="Times New Roman" w:hAnsi="Times New Roman"/>
      <w:smallCaps/>
      <w:spacing w:val="80"/>
      <w:sz w:val="28"/>
    </w:rPr>
  </w:style>
  <w:style w:type="paragraph" w:customStyle="1" w:styleId="InChapter">
    <w:name w:val="InChapter"/>
    <w:basedOn w:val="Heading3"/>
    <w:rsid w:val="006A221C"/>
    <w:pPr>
      <w:spacing w:after="240"/>
      <w:outlineLvl w:val="9"/>
    </w:pPr>
    <w:rPr>
      <w:noProof/>
    </w:rPr>
  </w:style>
  <w:style w:type="paragraph" w:styleId="Index2">
    <w:name w:val="index 2"/>
    <w:basedOn w:val="Normal"/>
    <w:next w:val="Normal"/>
    <w:semiHidden/>
    <w:rsid w:val="006A221C"/>
    <w:pPr>
      <w:tabs>
        <w:tab w:val="right" w:pos="4176"/>
      </w:tabs>
      <w:ind w:left="568" w:hanging="284"/>
    </w:pPr>
    <w:rPr>
      <w:rFonts w:ascii="Garamond" w:hAnsi="Garamond"/>
    </w:rPr>
  </w:style>
  <w:style w:type="paragraph" w:customStyle="1" w:styleId="Byline">
    <w:name w:val="Byline"/>
    <w:rsid w:val="006A22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21C"/>
    <w:pPr>
      <w:tabs>
        <w:tab w:val="clear" w:pos="3600"/>
        <w:tab w:val="clear" w:pos="3958"/>
      </w:tabs>
      <w:jc w:val="right"/>
    </w:pPr>
  </w:style>
  <w:style w:type="character" w:styleId="Emphasis">
    <w:name w:val="Emphasis"/>
    <w:basedOn w:val="DefaultParagraphFont"/>
    <w:qFormat/>
    <w:rsid w:val="006A221C"/>
    <w:rPr>
      <w:i/>
    </w:rPr>
  </w:style>
  <w:style w:type="paragraph" w:styleId="Caption">
    <w:name w:val="caption"/>
    <w:basedOn w:val="BodyText"/>
    <w:next w:val="Normal"/>
    <w:qFormat/>
    <w:rsid w:val="006A221C"/>
    <w:pPr>
      <w:framePr w:w="2268" w:hSpace="181" w:vSpace="181" w:wrap="around" w:vAnchor="text" w:hAnchor="page" w:x="1135" w:y="285" w:anchorLock="1"/>
    </w:pPr>
    <w:rPr>
      <w:i/>
    </w:rPr>
  </w:style>
  <w:style w:type="paragraph" w:customStyle="1" w:styleId="MiniTOCTitle">
    <w:name w:val="MiniTOCTitle"/>
    <w:basedOn w:val="Heading4"/>
    <w:rsid w:val="006A221C"/>
    <w:pPr>
      <w:spacing w:before="240"/>
      <w:outlineLvl w:val="9"/>
    </w:pPr>
    <w:rPr>
      <w:noProof/>
      <w:sz w:val="24"/>
    </w:rPr>
  </w:style>
  <w:style w:type="paragraph" w:customStyle="1" w:styleId="MiniTOCItem">
    <w:name w:val="MiniTOCItem"/>
    <w:basedOn w:val="ListBullet"/>
    <w:rsid w:val="006A221C"/>
    <w:pPr>
      <w:numPr>
        <w:numId w:val="0"/>
      </w:numPr>
      <w:tabs>
        <w:tab w:val="right" w:leader="dot" w:pos="6521"/>
      </w:tabs>
      <w:spacing w:before="0" w:after="0"/>
    </w:pPr>
  </w:style>
  <w:style w:type="paragraph" w:customStyle="1" w:styleId="TOFTitle">
    <w:name w:val="TOFTitle"/>
    <w:basedOn w:val="TOCTitle"/>
    <w:rsid w:val="006A221C"/>
  </w:style>
  <w:style w:type="paragraph" w:styleId="TableofFigures">
    <w:name w:val="table of figures"/>
    <w:basedOn w:val="Normal"/>
    <w:next w:val="Normal"/>
    <w:semiHidden/>
    <w:rsid w:val="006A221C"/>
    <w:pPr>
      <w:tabs>
        <w:tab w:val="right" w:leader="dot" w:pos="9072"/>
      </w:tabs>
      <w:ind w:left="970" w:hanging="403"/>
    </w:pPr>
    <w:rPr>
      <w:rFonts w:ascii="Times New Roman" w:hAnsi="Times New Roman"/>
      <w:b/>
    </w:rPr>
  </w:style>
  <w:style w:type="paragraph" w:styleId="ListNumber">
    <w:name w:val="List Number"/>
    <w:basedOn w:val="List"/>
    <w:rsid w:val="006A221C"/>
    <w:pPr>
      <w:numPr>
        <w:numId w:val="15"/>
      </w:numPr>
      <w:tabs>
        <w:tab w:val="clear" w:pos="340"/>
      </w:tabs>
    </w:pPr>
  </w:style>
  <w:style w:type="character" w:customStyle="1" w:styleId="WingdingSymbols">
    <w:name w:val="Wingding Symbols"/>
    <w:rsid w:val="006A221C"/>
    <w:rPr>
      <w:rFonts w:ascii="Wingdings" w:hAnsi="Wingdings"/>
    </w:rPr>
  </w:style>
  <w:style w:type="paragraph" w:customStyle="1" w:styleId="TableHeading">
    <w:name w:val="Table Heading"/>
    <w:basedOn w:val="HeadingBase"/>
    <w:rsid w:val="006A221C"/>
    <w:pPr>
      <w:keepLines/>
      <w:pBdr>
        <w:bottom w:val="single" w:sz="6" w:space="1" w:color="918585"/>
      </w:pBdr>
      <w:spacing w:before="240"/>
    </w:pPr>
  </w:style>
  <w:style w:type="character" w:customStyle="1" w:styleId="HotSpot">
    <w:name w:val="HotSpot"/>
    <w:rsid w:val="006A221C"/>
    <w:rPr>
      <w:color w:val="0033CC"/>
      <w:u w:val="none"/>
    </w:rPr>
  </w:style>
  <w:style w:type="paragraph" w:customStyle="1" w:styleId="BodyTextRight">
    <w:name w:val="Body Text Right"/>
    <w:basedOn w:val="BodyText"/>
    <w:rsid w:val="006A221C"/>
    <w:pPr>
      <w:spacing w:before="0" w:after="0"/>
      <w:jc w:val="right"/>
    </w:pPr>
  </w:style>
  <w:style w:type="paragraph" w:styleId="Index3">
    <w:name w:val="index 3"/>
    <w:basedOn w:val="ListNumber2"/>
    <w:next w:val="Normal"/>
    <w:semiHidden/>
    <w:rsid w:val="006A221C"/>
    <w:pPr>
      <w:numPr>
        <w:numId w:val="0"/>
      </w:numPr>
      <w:tabs>
        <w:tab w:val="right" w:leader="dot" w:pos="4176"/>
      </w:tabs>
    </w:pPr>
  </w:style>
  <w:style w:type="paragraph" w:styleId="ListNumber2">
    <w:name w:val="List Number 2"/>
    <w:basedOn w:val="List2"/>
    <w:rsid w:val="006A221C"/>
    <w:pPr>
      <w:numPr>
        <w:numId w:val="10"/>
      </w:numPr>
      <w:tabs>
        <w:tab w:val="clear" w:pos="1060"/>
      </w:tabs>
    </w:pPr>
  </w:style>
  <w:style w:type="paragraph" w:customStyle="1" w:styleId="MarginNote">
    <w:name w:val="Margin Note"/>
    <w:basedOn w:val="BodyText"/>
    <w:rsid w:val="006A22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2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2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21C"/>
    <w:rPr>
      <w:sz w:val="32"/>
    </w:rPr>
  </w:style>
  <w:style w:type="paragraph" w:customStyle="1" w:styleId="HeadingProcedure">
    <w:name w:val="Heading Procedure"/>
    <w:basedOn w:val="HeadingBase"/>
    <w:next w:val="Normal"/>
    <w:rsid w:val="006A221C"/>
    <w:pPr>
      <w:tabs>
        <w:tab w:val="left" w:pos="0"/>
      </w:tabs>
      <w:spacing w:before="120" w:after="60"/>
    </w:pPr>
    <w:rPr>
      <w:i/>
      <w:color w:val="918585"/>
      <w:sz w:val="22"/>
    </w:rPr>
  </w:style>
  <w:style w:type="paragraph" w:customStyle="1" w:styleId="TableBodyText">
    <w:name w:val="Table Body Text"/>
    <w:basedOn w:val="BodyText"/>
    <w:rsid w:val="006A221C"/>
    <w:pPr>
      <w:spacing w:before="60" w:after="60"/>
    </w:pPr>
  </w:style>
  <w:style w:type="paragraph" w:styleId="ListContinue">
    <w:name w:val="List Continue"/>
    <w:basedOn w:val="List"/>
    <w:rsid w:val="006A221C"/>
    <w:pPr>
      <w:ind w:firstLine="0"/>
    </w:pPr>
  </w:style>
  <w:style w:type="paragraph" w:customStyle="1" w:styleId="ListNote">
    <w:name w:val="List Note"/>
    <w:basedOn w:val="List"/>
    <w:rsid w:val="006A221C"/>
    <w:pPr>
      <w:pBdr>
        <w:top w:val="single" w:sz="6" w:space="2" w:color="918585"/>
        <w:bottom w:val="single" w:sz="6" w:space="2" w:color="918585"/>
      </w:pBdr>
      <w:tabs>
        <w:tab w:val="left" w:pos="1021"/>
      </w:tabs>
      <w:ind w:firstLine="0"/>
    </w:pPr>
  </w:style>
  <w:style w:type="paragraph" w:customStyle="1" w:styleId="Warning">
    <w:name w:val="Warning"/>
    <w:basedOn w:val="BodyText"/>
    <w:rsid w:val="006A221C"/>
    <w:pPr>
      <w:shd w:val="clear" w:color="auto" w:fill="D9D9D9"/>
      <w:tabs>
        <w:tab w:val="left" w:pos="992"/>
      </w:tabs>
      <w:ind w:left="119" w:right="119"/>
    </w:pPr>
    <w:rPr>
      <w:sz w:val="20"/>
    </w:rPr>
  </w:style>
  <w:style w:type="paragraph" w:customStyle="1" w:styleId="MarginIcons">
    <w:name w:val="Margin Icons"/>
    <w:basedOn w:val="BodyText"/>
    <w:rsid w:val="006A22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21C"/>
    <w:rPr>
      <w:rFonts w:ascii="Courier New" w:hAnsi="Courier New"/>
    </w:rPr>
  </w:style>
  <w:style w:type="paragraph" w:customStyle="1" w:styleId="NoteBullet">
    <w:name w:val="Note Bullet"/>
    <w:basedOn w:val="Note"/>
    <w:rsid w:val="006A221C"/>
    <w:pPr>
      <w:tabs>
        <w:tab w:val="clear" w:pos="680"/>
      </w:tabs>
      <w:spacing w:before="60" w:after="60"/>
    </w:pPr>
  </w:style>
  <w:style w:type="paragraph" w:customStyle="1" w:styleId="SubHeading2">
    <w:name w:val="SubHeading2"/>
    <w:basedOn w:val="HeadingBase"/>
    <w:rsid w:val="006A221C"/>
    <w:pPr>
      <w:spacing w:before="240" w:after="60"/>
    </w:pPr>
    <w:rPr>
      <w:sz w:val="20"/>
    </w:rPr>
  </w:style>
  <w:style w:type="paragraph" w:customStyle="1" w:styleId="SubHeading1">
    <w:name w:val="SubHeading1"/>
    <w:basedOn w:val="HeadingBase"/>
    <w:rsid w:val="006A221C"/>
    <w:pPr>
      <w:spacing w:before="240" w:after="60"/>
    </w:pPr>
    <w:rPr>
      <w:color w:val="918585"/>
      <w:sz w:val="22"/>
    </w:rPr>
  </w:style>
  <w:style w:type="paragraph" w:customStyle="1" w:styleId="SideHeading">
    <w:name w:val="Side Heading"/>
    <w:basedOn w:val="HeadingBase"/>
    <w:rsid w:val="006A22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21C"/>
    <w:pPr>
      <w:tabs>
        <w:tab w:val="num" w:pos="360"/>
      </w:tabs>
    </w:pPr>
  </w:style>
  <w:style w:type="paragraph" w:styleId="PlainText">
    <w:name w:val="Plain Text"/>
    <w:basedOn w:val="Normal"/>
    <w:link w:val="PlainTextChar"/>
    <w:rsid w:val="006A221C"/>
    <w:rPr>
      <w:sz w:val="20"/>
    </w:rPr>
  </w:style>
  <w:style w:type="character" w:customStyle="1" w:styleId="PlainTextChar">
    <w:name w:val="Plain Text Char"/>
    <w:basedOn w:val="DefaultParagraphFont"/>
    <w:link w:val="PlainText"/>
    <w:rsid w:val="006A221C"/>
    <w:rPr>
      <w:rFonts w:ascii="Courier New" w:eastAsia="Times New Roman" w:hAnsi="Courier New" w:cs="Times New Roman"/>
      <w:sz w:val="20"/>
      <w:szCs w:val="20"/>
      <w:lang w:eastAsia="en-US"/>
    </w:rPr>
  </w:style>
  <w:style w:type="character" w:customStyle="1" w:styleId="MenuOption">
    <w:name w:val="Menu Option"/>
    <w:basedOn w:val="DefaultParagraphFont"/>
    <w:rsid w:val="006A221C"/>
    <w:rPr>
      <w:b/>
      <w:smallCaps/>
    </w:rPr>
  </w:style>
  <w:style w:type="paragraph" w:customStyle="1" w:styleId="TableListNumber">
    <w:name w:val="Table List Number"/>
    <w:basedOn w:val="ListNumber"/>
    <w:rsid w:val="006A221C"/>
    <w:pPr>
      <w:numPr>
        <w:numId w:val="0"/>
      </w:numPr>
    </w:pPr>
  </w:style>
  <w:style w:type="paragraph" w:styleId="TOC4">
    <w:name w:val="toc 4"/>
    <w:basedOn w:val="TOCBase"/>
    <w:next w:val="Normal"/>
    <w:semiHidden/>
    <w:rsid w:val="006A221C"/>
    <w:pPr>
      <w:tabs>
        <w:tab w:val="right" w:leader="dot" w:pos="9071"/>
      </w:tabs>
      <w:ind w:left="1701"/>
    </w:pPr>
  </w:style>
  <w:style w:type="paragraph" w:customStyle="1" w:styleId="ListAlpha">
    <w:name w:val="List Alpha"/>
    <w:basedOn w:val="List"/>
    <w:rsid w:val="006A221C"/>
    <w:pPr>
      <w:numPr>
        <w:numId w:val="9"/>
      </w:numPr>
    </w:pPr>
  </w:style>
  <w:style w:type="paragraph" w:customStyle="1" w:styleId="ListAlpha2">
    <w:name w:val="List Alpha 2"/>
    <w:basedOn w:val="List2"/>
    <w:rsid w:val="006A221C"/>
    <w:pPr>
      <w:numPr>
        <w:numId w:val="8"/>
      </w:numPr>
    </w:pPr>
  </w:style>
  <w:style w:type="paragraph" w:styleId="List2">
    <w:name w:val="List 2"/>
    <w:basedOn w:val="BodyText"/>
    <w:rsid w:val="006A221C"/>
    <w:pPr>
      <w:tabs>
        <w:tab w:val="left" w:pos="680"/>
      </w:tabs>
      <w:spacing w:before="60" w:after="60"/>
      <w:ind w:left="680" w:hanging="340"/>
    </w:pPr>
  </w:style>
  <w:style w:type="paragraph" w:styleId="List3">
    <w:name w:val="List 3"/>
    <w:basedOn w:val="BodyText"/>
    <w:rsid w:val="006A221C"/>
    <w:pPr>
      <w:tabs>
        <w:tab w:val="left" w:pos="1021"/>
      </w:tabs>
      <w:spacing w:before="60" w:after="60"/>
      <w:ind w:left="1020" w:hanging="340"/>
    </w:pPr>
  </w:style>
  <w:style w:type="paragraph" w:styleId="List4">
    <w:name w:val="List 4"/>
    <w:basedOn w:val="BodyText"/>
    <w:rsid w:val="006A221C"/>
    <w:pPr>
      <w:tabs>
        <w:tab w:val="left" w:pos="1361"/>
      </w:tabs>
      <w:spacing w:before="60" w:after="60"/>
      <w:ind w:left="1361" w:hanging="340"/>
    </w:pPr>
  </w:style>
  <w:style w:type="paragraph" w:styleId="List5">
    <w:name w:val="List 5"/>
    <w:basedOn w:val="BodyText"/>
    <w:rsid w:val="006A221C"/>
    <w:pPr>
      <w:tabs>
        <w:tab w:val="left" w:pos="1701"/>
      </w:tabs>
      <w:spacing w:before="60" w:after="60"/>
      <w:ind w:left="1701" w:hanging="340"/>
    </w:pPr>
  </w:style>
  <w:style w:type="paragraph" w:styleId="ListBullet3">
    <w:name w:val="List Bullet 3"/>
    <w:basedOn w:val="List3"/>
    <w:rsid w:val="006A221C"/>
    <w:pPr>
      <w:numPr>
        <w:numId w:val="14"/>
      </w:numPr>
      <w:tabs>
        <w:tab w:val="clear" w:pos="1021"/>
      </w:tabs>
      <w:ind w:left="1037" w:hanging="357"/>
    </w:pPr>
  </w:style>
  <w:style w:type="paragraph" w:styleId="ListBullet4">
    <w:name w:val="List Bullet 4"/>
    <w:basedOn w:val="List4"/>
    <w:rsid w:val="006A221C"/>
    <w:pPr>
      <w:numPr>
        <w:numId w:val="3"/>
      </w:numPr>
      <w:tabs>
        <w:tab w:val="clear" w:pos="1361"/>
      </w:tabs>
    </w:pPr>
  </w:style>
  <w:style w:type="paragraph" w:styleId="ListBullet5">
    <w:name w:val="List Bullet 5"/>
    <w:basedOn w:val="List5"/>
    <w:rsid w:val="006A221C"/>
    <w:pPr>
      <w:numPr>
        <w:numId w:val="4"/>
      </w:numPr>
    </w:pPr>
  </w:style>
  <w:style w:type="paragraph" w:styleId="ListContinue2">
    <w:name w:val="List Continue 2"/>
    <w:basedOn w:val="List2"/>
    <w:rsid w:val="006A221C"/>
    <w:pPr>
      <w:ind w:firstLine="0"/>
    </w:pPr>
  </w:style>
  <w:style w:type="paragraph" w:styleId="ListContinue3">
    <w:name w:val="List Continue 3"/>
    <w:basedOn w:val="List3"/>
    <w:rsid w:val="006A221C"/>
    <w:pPr>
      <w:ind w:left="1021" w:firstLine="0"/>
    </w:pPr>
  </w:style>
  <w:style w:type="paragraph" w:styleId="ListContinue4">
    <w:name w:val="List Continue 4"/>
    <w:basedOn w:val="List4"/>
    <w:rsid w:val="006A221C"/>
    <w:pPr>
      <w:ind w:firstLine="0"/>
    </w:pPr>
  </w:style>
  <w:style w:type="paragraph" w:styleId="ListContinue5">
    <w:name w:val="List Continue 5"/>
    <w:basedOn w:val="List5"/>
    <w:rsid w:val="006A221C"/>
    <w:pPr>
      <w:ind w:firstLine="0"/>
    </w:pPr>
  </w:style>
  <w:style w:type="paragraph" w:styleId="ListNumber3">
    <w:name w:val="List Number 3"/>
    <w:basedOn w:val="List3"/>
    <w:rsid w:val="006A221C"/>
    <w:pPr>
      <w:numPr>
        <w:numId w:val="5"/>
      </w:numPr>
    </w:pPr>
  </w:style>
  <w:style w:type="paragraph" w:styleId="ListNumber4">
    <w:name w:val="List Number 4"/>
    <w:basedOn w:val="List4"/>
    <w:rsid w:val="006A221C"/>
    <w:pPr>
      <w:numPr>
        <w:numId w:val="6"/>
      </w:numPr>
    </w:pPr>
  </w:style>
  <w:style w:type="paragraph" w:styleId="ListNumber5">
    <w:name w:val="List Number 5"/>
    <w:basedOn w:val="List5"/>
    <w:rsid w:val="006A221C"/>
    <w:pPr>
      <w:numPr>
        <w:numId w:val="7"/>
      </w:numPr>
    </w:pPr>
  </w:style>
  <w:style w:type="paragraph" w:styleId="BlockText">
    <w:name w:val="Block Text"/>
    <w:basedOn w:val="Normal"/>
    <w:rsid w:val="006A221C"/>
    <w:pPr>
      <w:spacing w:after="120"/>
      <w:ind w:left="1440" w:right="1440"/>
    </w:pPr>
  </w:style>
  <w:style w:type="character" w:customStyle="1" w:styleId="Subscript">
    <w:name w:val="Subscript"/>
    <w:basedOn w:val="DefaultParagraphFont"/>
    <w:rsid w:val="006A221C"/>
    <w:rPr>
      <w:sz w:val="16"/>
      <w:vertAlign w:val="subscript"/>
    </w:rPr>
  </w:style>
  <w:style w:type="character" w:customStyle="1" w:styleId="Superscript">
    <w:name w:val="Superscript"/>
    <w:basedOn w:val="DefaultParagraphFont"/>
    <w:rsid w:val="006A221C"/>
    <w:rPr>
      <w:sz w:val="16"/>
      <w:vertAlign w:val="superscript"/>
    </w:rPr>
  </w:style>
  <w:style w:type="character" w:customStyle="1" w:styleId="Symbols">
    <w:name w:val="Symbols"/>
    <w:basedOn w:val="DefaultParagraphFont"/>
    <w:rsid w:val="006A221C"/>
    <w:rPr>
      <w:rFonts w:ascii="Symbol" w:hAnsi="Symbol"/>
    </w:rPr>
  </w:style>
  <w:style w:type="character" w:customStyle="1" w:styleId="MenuOptions">
    <w:name w:val="Menu Options"/>
    <w:basedOn w:val="DefaultParagraphFont"/>
    <w:rsid w:val="006A221C"/>
    <w:rPr>
      <w:rFonts w:ascii="Arial Narrow" w:hAnsi="Arial Narrow"/>
      <w:smallCaps/>
    </w:rPr>
  </w:style>
  <w:style w:type="character" w:customStyle="1" w:styleId="Buttons">
    <w:name w:val="Buttons"/>
    <w:basedOn w:val="DefaultParagraphFont"/>
    <w:rsid w:val="006A221C"/>
    <w:rPr>
      <w:b/>
    </w:rPr>
  </w:style>
  <w:style w:type="character" w:customStyle="1" w:styleId="Underlined">
    <w:name w:val="Underlined"/>
    <w:basedOn w:val="DefaultParagraphFont"/>
    <w:rsid w:val="006A221C"/>
    <w:rPr>
      <w:u w:val="single"/>
    </w:rPr>
  </w:style>
  <w:style w:type="paragraph" w:customStyle="1" w:styleId="TableBodyTextRight">
    <w:name w:val="Table Body Text Right"/>
    <w:basedOn w:val="TableBodyText"/>
    <w:rsid w:val="006A221C"/>
    <w:pPr>
      <w:widowControl w:val="0"/>
      <w:autoSpaceDE w:val="0"/>
      <w:autoSpaceDN w:val="0"/>
      <w:adjustRightInd w:val="0"/>
      <w:jc w:val="right"/>
    </w:pPr>
    <w:rPr>
      <w:rFonts w:cs="Arial"/>
      <w:szCs w:val="18"/>
    </w:rPr>
  </w:style>
  <w:style w:type="paragraph" w:customStyle="1" w:styleId="CopyrightText">
    <w:name w:val="Copyright Text"/>
    <w:basedOn w:val="BodyText"/>
    <w:rsid w:val="006A221C"/>
    <w:rPr>
      <w:sz w:val="18"/>
    </w:rPr>
  </w:style>
  <w:style w:type="paragraph" w:customStyle="1" w:styleId="BodySmallRight">
    <w:name w:val="Body Small Right"/>
    <w:basedOn w:val="BodyTextRight"/>
    <w:rsid w:val="006A221C"/>
    <w:rPr>
      <w:sz w:val="18"/>
      <w:szCs w:val="18"/>
    </w:rPr>
  </w:style>
  <w:style w:type="paragraph" w:customStyle="1" w:styleId="MarginEdition">
    <w:name w:val="Margin Edition"/>
    <w:basedOn w:val="MarginNote"/>
    <w:rsid w:val="006A221C"/>
    <w:pPr>
      <w:spacing w:before="0" w:after="0"/>
    </w:pPr>
    <w:rPr>
      <w:rFonts w:ascii="Times New Roman" w:hAnsi="Times New Roman"/>
      <w:color w:val="999999"/>
    </w:rPr>
  </w:style>
  <w:style w:type="paragraph" w:customStyle="1" w:styleId="Spacer">
    <w:name w:val="Spacer"/>
    <w:basedOn w:val="Normal"/>
    <w:rsid w:val="006A221C"/>
    <w:rPr>
      <w:sz w:val="2"/>
      <w:szCs w:val="2"/>
    </w:rPr>
  </w:style>
  <w:style w:type="character" w:customStyle="1" w:styleId="Small">
    <w:name w:val="Small"/>
    <w:basedOn w:val="DefaultParagraphFont"/>
    <w:rsid w:val="006A221C"/>
    <w:rPr>
      <w:sz w:val="16"/>
    </w:rPr>
  </w:style>
  <w:style w:type="paragraph" w:customStyle="1" w:styleId="WideTable">
    <w:name w:val="Wide Table"/>
    <w:basedOn w:val="Normal"/>
    <w:rsid w:val="006A221C"/>
    <w:pPr>
      <w:ind w:left="-1418"/>
    </w:pPr>
    <w:rPr>
      <w:sz w:val="2"/>
      <w:szCs w:val="2"/>
    </w:rPr>
  </w:style>
  <w:style w:type="character" w:styleId="PageNumber">
    <w:name w:val="page number"/>
    <w:basedOn w:val="DefaultParagraphFont"/>
    <w:rsid w:val="006A221C"/>
  </w:style>
  <w:style w:type="paragraph" w:styleId="Quote">
    <w:name w:val="Quote"/>
    <w:basedOn w:val="Heading1"/>
    <w:link w:val="QuoteChar"/>
    <w:qFormat/>
    <w:rsid w:val="006A221C"/>
    <w:rPr>
      <w:b w:val="0"/>
      <w:sz w:val="72"/>
      <w:szCs w:val="72"/>
      <w:lang w:val="en-NZ"/>
    </w:rPr>
  </w:style>
  <w:style w:type="character" w:customStyle="1" w:styleId="QuoteChar">
    <w:name w:val="Quote Char"/>
    <w:basedOn w:val="DefaultParagraphFont"/>
    <w:link w:val="Quote"/>
    <w:rsid w:val="006A22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21C"/>
    <w:pPr>
      <w:pageBreakBefore/>
    </w:pPr>
  </w:style>
  <w:style w:type="paragraph" w:customStyle="1" w:styleId="Border">
    <w:name w:val="Border"/>
    <w:basedOn w:val="Normal"/>
    <w:qFormat/>
    <w:rsid w:val="006A22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21C"/>
    <w:rPr>
      <w:b/>
      <w:bCs/>
      <w:i/>
      <w:iCs/>
      <w:color w:val="auto"/>
    </w:rPr>
  </w:style>
  <w:style w:type="paragraph" w:styleId="IntenseQuote">
    <w:name w:val="Intense Quote"/>
    <w:basedOn w:val="Normal"/>
    <w:next w:val="Normal"/>
    <w:link w:val="IntenseQuoteChar"/>
    <w:uiPriority w:val="30"/>
    <w:qFormat/>
    <w:rsid w:val="006A22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2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21C"/>
    <w:rPr>
      <w:smallCaps/>
      <w:color w:val="auto"/>
      <w:u w:val="single"/>
    </w:rPr>
  </w:style>
  <w:style w:type="character" w:styleId="IntenseReference">
    <w:name w:val="Intense Reference"/>
    <w:basedOn w:val="DefaultParagraphFont"/>
    <w:uiPriority w:val="32"/>
    <w:qFormat/>
    <w:rsid w:val="006A221C"/>
    <w:rPr>
      <w:b/>
      <w:bCs/>
      <w:smallCaps/>
      <w:color w:val="auto"/>
      <w:spacing w:val="5"/>
      <w:u w:val="single"/>
    </w:rPr>
  </w:style>
  <w:style w:type="paragraph" w:customStyle="1" w:styleId="2ColumnHeading">
    <w:name w:val="2Column Heading"/>
    <w:basedOn w:val="BodyText"/>
    <w:qFormat/>
    <w:rsid w:val="006A221C"/>
    <w:pPr>
      <w:spacing w:after="60"/>
      <w:ind w:left="-2268"/>
    </w:pPr>
    <w:rPr>
      <w:b/>
    </w:rPr>
  </w:style>
  <w:style w:type="paragraph" w:customStyle="1" w:styleId="Heading1TOC">
    <w:name w:val="Heading1 TOC"/>
    <w:basedOn w:val="Normal"/>
    <w:qFormat/>
    <w:rsid w:val="006A221C"/>
    <w:pPr>
      <w:spacing w:before="240" w:after="120"/>
    </w:pPr>
    <w:rPr>
      <w:rFonts w:ascii="Times New Roman" w:hAnsi="Times New Roman"/>
      <w:b/>
      <w:sz w:val="32"/>
    </w:rPr>
  </w:style>
  <w:style w:type="paragraph" w:customStyle="1" w:styleId="Heading2TOC">
    <w:name w:val="Heading2 TOC"/>
    <w:basedOn w:val="Normal"/>
    <w:qFormat/>
    <w:rsid w:val="006A221C"/>
    <w:pPr>
      <w:spacing w:before="240" w:after="60"/>
    </w:pPr>
    <w:rPr>
      <w:rFonts w:ascii="Times New Roman" w:hAnsi="Times New Roman"/>
      <w:b/>
      <w:sz w:val="28"/>
    </w:rPr>
  </w:style>
  <w:style w:type="character" w:customStyle="1" w:styleId="Underline">
    <w:name w:val="Underline"/>
    <w:basedOn w:val="DefaultParagraphFont"/>
    <w:qFormat/>
    <w:rsid w:val="006A221C"/>
    <w:rPr>
      <w:u w:val="single"/>
    </w:rPr>
  </w:style>
  <w:style w:type="character" w:customStyle="1" w:styleId="BoldandItalics">
    <w:name w:val="Bold and Italics"/>
    <w:qFormat/>
    <w:rsid w:val="006A221C"/>
    <w:rPr>
      <w:b/>
      <w:i/>
      <w:u w:val="none"/>
    </w:rPr>
  </w:style>
  <w:style w:type="paragraph" w:styleId="BalloonText">
    <w:name w:val="Balloon Text"/>
    <w:basedOn w:val="Normal"/>
    <w:link w:val="BalloonTextChar"/>
    <w:rsid w:val="006A221C"/>
    <w:rPr>
      <w:rFonts w:ascii="Tahoma" w:hAnsi="Tahoma" w:cs="Tahoma"/>
      <w:sz w:val="16"/>
      <w:szCs w:val="16"/>
    </w:rPr>
  </w:style>
  <w:style w:type="character" w:customStyle="1" w:styleId="BalloonTextChar">
    <w:name w:val="Balloon Text Char"/>
    <w:basedOn w:val="DefaultParagraphFont"/>
    <w:link w:val="BalloonText"/>
    <w:rsid w:val="006A22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2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22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21C"/>
    <w:rPr>
      <w:b/>
      <w:color w:val="660033"/>
      <w:spacing w:val="0"/>
    </w:rPr>
  </w:style>
  <w:style w:type="paragraph" w:customStyle="1" w:styleId="Nameditemlist">
    <w:name w:val="Named item list"/>
    <w:basedOn w:val="BodyText"/>
    <w:qFormat/>
    <w:rsid w:val="006A221C"/>
    <w:pPr>
      <w:tabs>
        <w:tab w:val="left" w:pos="2835"/>
      </w:tabs>
      <w:ind w:left="2835" w:hanging="2835"/>
    </w:pPr>
  </w:style>
  <w:style w:type="paragraph" w:customStyle="1" w:styleId="BodyTextnopadding">
    <w:name w:val="Body Text no padding"/>
    <w:basedOn w:val="BodyText"/>
    <w:qFormat/>
    <w:rsid w:val="006A221C"/>
    <w:pPr>
      <w:spacing w:before="0" w:after="0"/>
    </w:pPr>
  </w:style>
  <w:style w:type="paragraph" w:customStyle="1" w:styleId="BodyTextBold">
    <w:name w:val="Body Text Bold"/>
    <w:basedOn w:val="BodyText"/>
    <w:qFormat/>
    <w:rsid w:val="006A221C"/>
    <w:rPr>
      <w:b/>
    </w:rPr>
  </w:style>
  <w:style w:type="character" w:styleId="Hyperlink">
    <w:name w:val="Hyperlink"/>
    <w:basedOn w:val="DefaultParagraphFont"/>
    <w:uiPriority w:val="99"/>
    <w:unhideWhenUsed/>
    <w:rsid w:val="00EA31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1373</Words>
  <Characters>9164</Characters>
  <Application>Microsoft Office Word</Application>
  <DocSecurity>0</DocSecurity>
  <Lines>166</Lines>
  <Paragraphs>87</Paragraphs>
  <ScaleCrop>false</ScaleCrop>
  <Company>Author-it Software Corporation Ltd.</Company>
  <LinksUpToDate>false</LinksUpToDate>
  <CharactersWithSpaces>10450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UETTDREL13 Comply with sustainability, environmental and incidental response policies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2021-04-20T06:42:00Z</dcterms:created>
  <dcterms:modified xsi:type="dcterms:W3CDTF">2021-04-20T06:42:00Z</dcterms:modified>
</cp:coreProperties>
</file>