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22C" w:rsidP="007D12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UETTDREL11 Apply sustainable energy and environmental procedures</w:t>
      </w:r>
      <w:r>
        <w:fldChar w:fldCharType="end"/>
      </w:r>
    </w:p>
    <w:p w:rsidR="007D122C" w:rsidP="007D122C">
      <w:pPr>
        <w:pStyle w:val="Version"/>
        <w:sectPr w:rsidSect="00A42B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B42" w:rsidP="00A42B42">
      <w:pPr>
        <w:pStyle w:val="SuperHeading"/>
      </w:pPr>
      <w:r w:rsidRPr="00A42B42">
        <w:t>Assessment Requirements for UETTDREL11 Apply sustainable energy and environmental procedures</w:t>
      </w:r>
    </w:p>
    <w:p w:rsidR="00000000" w:rsidRPr="00A42B42" w:rsidP="00A42B42">
      <w:pPr>
        <w:pStyle w:val="Heading1"/>
      </w:pPr>
      <w:bookmarkStart w:id="1" w:name="O_1002861"/>
      <w:bookmarkEnd w:id="1"/>
      <w:r w:rsidRPr="00A42B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B42" w:rsidP="00A42B42">
            <w:pPr>
              <w:pStyle w:val="BodyText"/>
            </w:pPr>
            <w:r w:rsidRPr="00A42B4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A42B42" w:rsidP="00A42B42">
      <w:pPr>
        <w:pStyle w:val="NoPaddingFontSize1"/>
      </w:pPr>
    </w:p>
    <w:p w:rsidR="00000000" w:rsidRPr="00A42B42" w:rsidP="00A42B42">
      <w:pPr>
        <w:pStyle w:val="AllowPageBreak"/>
      </w:pPr>
    </w:p>
    <w:p w:rsidR="00000000" w:rsidRPr="00A42B42" w:rsidP="00A42B42">
      <w:pPr>
        <w:pStyle w:val="Heading1"/>
      </w:pPr>
      <w:bookmarkStart w:id="2" w:name="O_1002862"/>
      <w:bookmarkEnd w:id="2"/>
      <w:r w:rsidRPr="00A42B4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B42">
            <w:pPr>
              <w:pStyle w:val="BodyText"/>
              <w:rPr>
                <w:lang w:val="en-NZ"/>
              </w:rPr>
            </w:pPr>
            <w:r w:rsidRPr="00A42B42">
              <w:t>Evidence required to demonstrate competence in this unit must be relevant to a</w:t>
            </w:r>
            <w:r w:rsidRPr="00A42B42">
              <w:t xml:space="preserve">nd satisfy all of the requirements of the elements and performance criteria on at least two separate occasions and include:  </w:t>
            </w:r>
          </w:p>
        </w:tc>
      </w:tr>
      <w:tr w:rsidTr="00A42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B42" w:rsidP="00A42B42">
            <w:pPr>
              <w:pStyle w:val="ListBullet"/>
            </w:pPr>
            <w:r w:rsidRPr="00A42B42">
              <w:t>applying relevant work health and safety (WHS)/occupational health and safety (OHS) requirements, including the use of risk cont</w:t>
            </w:r>
            <w:r w:rsidRPr="00A42B42">
              <w:t xml:space="preserve">rol measures </w:t>
            </w:r>
          </w:p>
          <w:p w:rsidR="00000000" w:rsidRPr="00A42B42" w:rsidP="00A42B42">
            <w:pPr>
              <w:pStyle w:val="ListBullet"/>
            </w:pPr>
            <w:r w:rsidRPr="00A42B42">
              <w:t>applying sustainable energy principles and practices</w:t>
            </w:r>
          </w:p>
          <w:p w:rsidR="00000000" w:rsidRPr="00A42B42" w:rsidP="00A42B42">
            <w:pPr>
              <w:pStyle w:val="ListBullet"/>
            </w:pPr>
            <w:r w:rsidRPr="00A42B42">
              <w:t>completing environmental management documentation using all of the following:</w:t>
            </w:r>
          </w:p>
          <w:p w:rsidR="00000000" w:rsidRPr="00A42B42" w:rsidP="00A42B42">
            <w:pPr>
              <w:pStyle w:val="ListBullet2"/>
            </w:pPr>
            <w:r w:rsidRPr="00A42B42">
              <w:t>environmental risk assessment</w:t>
            </w:r>
          </w:p>
          <w:p w:rsidR="00000000" w:rsidRPr="00A42B42" w:rsidP="00A42B42">
            <w:pPr>
              <w:pStyle w:val="ListBullet2"/>
            </w:pPr>
            <w:r w:rsidRPr="00A42B42">
              <w:t>legislative requirements</w:t>
            </w:r>
          </w:p>
          <w:p w:rsidR="00000000" w:rsidRPr="00A42B42" w:rsidP="00A42B42">
            <w:pPr>
              <w:pStyle w:val="ListBullet2"/>
            </w:pPr>
            <w:r w:rsidRPr="00A42B42">
              <w:t>sustainable energy principles and practice</w:t>
            </w:r>
          </w:p>
          <w:p w:rsidR="00000000" w:rsidRPr="00A42B42" w:rsidP="00A42B42">
            <w:pPr>
              <w:pStyle w:val="ListBullet"/>
            </w:pPr>
            <w:r w:rsidRPr="00A42B42">
              <w:t>dealing with unplanned events on at least one (1) occasion.</w:t>
            </w:r>
          </w:p>
        </w:tc>
      </w:tr>
    </w:tbl>
    <w:p w:rsidR="00000000" w:rsidRPr="00A42B42" w:rsidP="00A42B42">
      <w:pPr>
        <w:pStyle w:val="NoPaddingFontSize1"/>
      </w:pPr>
    </w:p>
    <w:p w:rsidR="00000000" w:rsidRPr="00A42B42" w:rsidP="00A42B42">
      <w:pPr>
        <w:pStyle w:val="AllowPageBreak"/>
      </w:pPr>
    </w:p>
    <w:p w:rsidR="00000000" w:rsidRPr="00A42B42" w:rsidP="00A42B42">
      <w:pPr>
        <w:pStyle w:val="Heading1"/>
      </w:pPr>
      <w:bookmarkStart w:id="3" w:name="O_1002863"/>
      <w:bookmarkEnd w:id="3"/>
      <w:r w:rsidRPr="00A42B4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B42">
            <w:pPr>
              <w:pStyle w:val="BodyText"/>
              <w:rPr>
                <w:lang w:val="en-NZ"/>
              </w:rPr>
            </w:pPr>
            <w:r w:rsidRPr="00A42B42">
              <w:t>Evidence required to demonstrate competence in this unit must be relevant to and satisfy all of the requirements of the elements and performance criteria an</w:t>
            </w:r>
            <w:r w:rsidRPr="00A42B42">
              <w:t>d include knowledge of:</w:t>
            </w:r>
          </w:p>
        </w:tc>
      </w:tr>
      <w:tr w:rsidTr="00A42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B42" w:rsidP="00A42B42">
            <w:pPr>
              <w:pStyle w:val="ListBullet"/>
            </w:pPr>
            <w:r w:rsidRPr="00A42B42">
              <w:t>environmental standards, codes, environmental legislation, supply authority regulations and/or enterprise requirements applicable to the control of environment associated with the worksite, including:</w:t>
            </w:r>
          </w:p>
          <w:p w:rsidR="00000000" w:rsidRPr="00A42B42" w:rsidP="00A42B42">
            <w:pPr>
              <w:pStyle w:val="ListBullet2"/>
            </w:pPr>
            <w:r w:rsidRPr="00A42B42">
              <w:t>relevant federal legislation</w:t>
            </w:r>
          </w:p>
          <w:p w:rsidR="00000000" w:rsidRPr="00A42B42" w:rsidP="00A42B42">
            <w:pPr>
              <w:pStyle w:val="ListBullet2"/>
            </w:pPr>
            <w:r w:rsidRPr="00A42B42">
              <w:t>relevant state/territory legislation</w:t>
            </w:r>
          </w:p>
          <w:p w:rsidR="00000000" w:rsidRPr="00A42B42" w:rsidP="00A42B42">
            <w:pPr>
              <w:pStyle w:val="ListBullet2"/>
            </w:pPr>
            <w:r w:rsidRPr="00A42B42">
              <w:t>relevant local government by-laws</w:t>
            </w:r>
          </w:p>
          <w:p w:rsidR="00000000" w:rsidRPr="00A42B42" w:rsidP="00A42B42">
            <w:pPr>
              <w:pStyle w:val="ListBullet2"/>
            </w:pPr>
            <w:r w:rsidRPr="00A42B42">
              <w:t>relevant government or quasi government policies and regulations</w:t>
            </w:r>
          </w:p>
          <w:p w:rsidR="00000000" w:rsidRPr="00A42B42" w:rsidP="00A42B42">
            <w:pPr>
              <w:pStyle w:val="ListBullet2"/>
            </w:pPr>
            <w:r w:rsidRPr="00A42B42">
              <w:t>relevant community planning and development agreements - land care agreements</w:t>
            </w:r>
          </w:p>
          <w:p w:rsidR="00000000" w:rsidRPr="00A42B42" w:rsidP="00A42B42">
            <w:pPr>
              <w:pStyle w:val="ListBullet"/>
            </w:pPr>
            <w:r w:rsidRPr="00A42B42">
              <w:t>employer and employee responsibilities</w:t>
            </w:r>
          </w:p>
          <w:p w:rsidR="00000000" w:rsidRPr="00A42B42" w:rsidP="00A42B42">
            <w:pPr>
              <w:pStyle w:val="ListBullet"/>
            </w:pPr>
            <w:r w:rsidRPr="00A42B42">
              <w:t>methods of obtaining information on environmental issues and updates</w:t>
            </w:r>
          </w:p>
          <w:p w:rsidR="00000000" w:rsidRPr="00A42B42" w:rsidP="00A42B42">
            <w:pPr>
              <w:pStyle w:val="ListBullet"/>
            </w:pPr>
            <w:r w:rsidRPr="00A42B42">
              <w:t>methods of identifying environmental impacts from work-related activities</w:t>
            </w:r>
          </w:p>
          <w:p w:rsidR="00000000" w:rsidRPr="00A42B42" w:rsidP="00A42B42">
            <w:pPr>
              <w:pStyle w:val="ListBullet"/>
            </w:pPr>
            <w:r w:rsidRPr="00A42B42">
              <w:t>meaning of environmental terms, including:</w:t>
            </w:r>
          </w:p>
          <w:p w:rsidR="00000000" w:rsidRPr="00A42B42" w:rsidP="00A42B42">
            <w:pPr>
              <w:pStyle w:val="ListBullet2"/>
            </w:pPr>
            <w:r w:rsidRPr="00A42B42">
              <w:t>identification, assessment and control of risks</w:t>
            </w:r>
          </w:p>
          <w:p w:rsidR="00000000" w:rsidRPr="00A42B42" w:rsidP="00A42B42">
            <w:pPr>
              <w:pStyle w:val="ListBullet2"/>
            </w:pPr>
            <w:r w:rsidRPr="00A42B42">
              <w:t>compliance</w:t>
            </w:r>
          </w:p>
          <w:p w:rsidR="00000000" w:rsidRPr="00A42B42" w:rsidP="00A42B42">
            <w:pPr>
              <w:pStyle w:val="ListBullet2"/>
            </w:pPr>
            <w:r w:rsidRPr="00A42B42">
              <w:t>best pract</w:t>
            </w:r>
            <w:r w:rsidRPr="00A42B42">
              <w:t>ice</w:t>
            </w:r>
          </w:p>
          <w:p w:rsidR="00000000" w:rsidRPr="00A42B42" w:rsidP="00A42B42">
            <w:pPr>
              <w:pStyle w:val="ListBullet2"/>
            </w:pPr>
            <w:r w:rsidRPr="00A42B42">
              <w:t>sustainable energy</w:t>
            </w:r>
          </w:p>
          <w:p w:rsidR="00000000" w:rsidRPr="00A42B42" w:rsidP="00A42B42">
            <w:pPr>
              <w:pStyle w:val="ListBullet"/>
            </w:pPr>
            <w:r w:rsidRPr="00A42B42">
              <w:t>procedures in implementing management plans to ensure compliance</w:t>
            </w:r>
          </w:p>
          <w:p w:rsidR="00000000" w:rsidRPr="00A42B42" w:rsidP="00A42B42">
            <w:pPr>
              <w:pStyle w:val="ListBullet"/>
            </w:pPr>
            <w:r w:rsidRPr="00A42B42">
              <w:t>methods of obtaining updated environmental information and data sheets on the proper use and handling of equipment and materials</w:t>
            </w:r>
          </w:p>
          <w:p w:rsidR="00000000" w:rsidRPr="00A42B42" w:rsidP="00A42B42">
            <w:pPr>
              <w:pStyle w:val="ListBullet"/>
            </w:pPr>
            <w:r w:rsidRPr="00A42B42">
              <w:t>WHS/OHS legislation, hazardous substan</w:t>
            </w:r>
            <w:r w:rsidRPr="00A42B42">
              <w:t>ces/dangerous goods regulations; and enterprise requirements applicable to environmental care when handling materials, including provision of manufacturer and supplier information, such as material safety data sheets (MSDS)</w:t>
            </w:r>
          </w:p>
          <w:p w:rsidR="00000000" w:rsidRPr="00A42B42" w:rsidP="00A42B42">
            <w:pPr>
              <w:pStyle w:val="ListBullet"/>
            </w:pPr>
            <w:r w:rsidRPr="00A42B42">
              <w:t>types and application of persona</w:t>
            </w:r>
            <w:r w:rsidRPr="00A42B42">
              <w:t>l protective equipment (PPE) used for hazards substances and dangerous goods</w:t>
            </w:r>
          </w:p>
          <w:p w:rsidR="00000000" w:rsidRPr="00A42B42" w:rsidP="00A42B42">
            <w:pPr>
              <w:pStyle w:val="ListBullet"/>
            </w:pPr>
            <w:r w:rsidRPr="00A42B42">
              <w:t>techniques in handling equipment to eliminate/reduce risks to the environment from spillages of oils, herbicides, pesticides and chemicals from such equipment, including:</w:t>
            </w:r>
          </w:p>
          <w:p w:rsidR="00000000" w:rsidRPr="00A42B42" w:rsidP="00A42B42">
            <w:pPr>
              <w:pStyle w:val="ListBullet2"/>
            </w:pPr>
            <w:r w:rsidRPr="00A42B42">
              <w:t>vehicle</w:t>
            </w:r>
            <w:r w:rsidRPr="00A42B42">
              <w:t xml:space="preserve"> loading crane</w:t>
            </w:r>
          </w:p>
          <w:p w:rsidR="00000000" w:rsidRPr="00A42B42" w:rsidP="00A42B42">
            <w:pPr>
              <w:pStyle w:val="ListBullet2"/>
            </w:pPr>
            <w:r w:rsidRPr="00A42B42">
              <w:t>chainsaw</w:t>
            </w:r>
          </w:p>
          <w:p w:rsidR="00000000" w:rsidRPr="00A42B42" w:rsidP="00A42B42">
            <w:pPr>
              <w:pStyle w:val="ListBullet2"/>
            </w:pPr>
            <w:r w:rsidRPr="00A42B42">
              <w:t>enterprise vehicles</w:t>
            </w:r>
          </w:p>
          <w:p w:rsidR="00000000" w:rsidRPr="00A42B42" w:rsidP="00A42B42">
            <w:pPr>
              <w:pStyle w:val="ListBullet2"/>
            </w:pPr>
            <w:r w:rsidRPr="00A42B42">
              <w:t>explosive power tools</w:t>
            </w:r>
          </w:p>
          <w:p w:rsidR="00000000" w:rsidRPr="00A42B42" w:rsidP="00A42B42">
            <w:pPr>
              <w:pStyle w:val="ListBullet"/>
            </w:pPr>
            <w:r w:rsidRPr="00A42B42">
              <w:t>procedures for handling and control of spillages of herbicides</w:t>
            </w:r>
          </w:p>
          <w:p w:rsidR="00000000" w:rsidRPr="00A42B42" w:rsidP="00A42B42">
            <w:pPr>
              <w:pStyle w:val="ListBullet"/>
            </w:pPr>
            <w:r w:rsidRPr="00A42B42">
              <w:t>methods of disposing and storage of herbicides, pesticides, oils and chemicals</w:t>
            </w:r>
          </w:p>
          <w:p w:rsidR="00000000" w:rsidRPr="00A42B42" w:rsidP="00A42B42">
            <w:pPr>
              <w:pStyle w:val="ListBullet"/>
            </w:pPr>
            <w:r w:rsidRPr="00A42B42">
              <w:t>methods of cleaning mobile plant, equipment and tools</w:t>
            </w:r>
          </w:p>
          <w:p w:rsidR="00000000" w:rsidRPr="00A42B42" w:rsidP="00A42B42">
            <w:pPr>
              <w:pStyle w:val="ListBullet"/>
            </w:pPr>
            <w:r w:rsidRPr="00A42B42">
              <w:t>emergency procedures for spillages of oil to reduce risks to the environment, including:</w:t>
            </w:r>
          </w:p>
          <w:p w:rsidR="00000000" w:rsidRPr="00A42B42" w:rsidP="00A42B42">
            <w:pPr>
              <w:pStyle w:val="ListBullet2"/>
            </w:pPr>
            <w:r w:rsidRPr="00A42B42">
              <w:t>methods of cleaning up excessive spillages</w:t>
            </w:r>
          </w:p>
          <w:p w:rsidR="00000000" w:rsidRPr="00A42B42" w:rsidP="00A42B42">
            <w:pPr>
              <w:pStyle w:val="ListBullet2"/>
            </w:pPr>
            <w:r w:rsidRPr="00A42B42">
              <w:t>methods of protection to surrounding environment</w:t>
            </w:r>
          </w:p>
          <w:p w:rsidR="00000000" w:rsidRPr="00A42B42" w:rsidP="00A42B42">
            <w:pPr>
              <w:pStyle w:val="ListBullet2"/>
            </w:pPr>
            <w:r w:rsidRPr="00A42B42">
              <w:t>procedures for notif</w:t>
            </w:r>
            <w:r w:rsidRPr="00A42B42">
              <w:t>ication of relevant personnel and authorities</w:t>
            </w:r>
          </w:p>
          <w:p w:rsidR="00000000" w:rsidRPr="00A42B42" w:rsidP="00A42B42">
            <w:pPr>
              <w:pStyle w:val="ListBullet2"/>
            </w:pPr>
            <w:r w:rsidRPr="00A42B42">
              <w:t>recording procedures</w:t>
            </w:r>
          </w:p>
          <w:p w:rsidR="00000000" w:rsidRPr="00A42B42" w:rsidP="00A42B42">
            <w:pPr>
              <w:pStyle w:val="ListBullet"/>
            </w:pPr>
            <w:r w:rsidRPr="00A42B42">
              <w:t>recording of data.</w:t>
            </w:r>
          </w:p>
        </w:tc>
      </w:tr>
    </w:tbl>
    <w:p w:rsidR="00000000" w:rsidRPr="00A42B42" w:rsidP="00A42B42">
      <w:pPr>
        <w:pStyle w:val="NoPaddingFontSize1"/>
      </w:pPr>
    </w:p>
    <w:p w:rsidR="00000000" w:rsidRPr="00A42B42" w:rsidP="00A42B42">
      <w:pPr>
        <w:pStyle w:val="AllowPageBreak"/>
      </w:pPr>
    </w:p>
    <w:p w:rsidR="00000000" w:rsidRPr="00A42B42" w:rsidP="00A42B42">
      <w:pPr>
        <w:pStyle w:val="Heading1"/>
      </w:pPr>
      <w:bookmarkStart w:id="4" w:name="O_1002864"/>
      <w:bookmarkEnd w:id="4"/>
      <w:r w:rsidRPr="00A42B4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B42" w:rsidP="00A42B42">
            <w:pPr>
              <w:pStyle w:val="BodyText"/>
            </w:pPr>
            <w:r w:rsidRPr="00A42B42">
              <w:t>Assessors must hold credentials specified within the Standards for Registered Training Organisations current at the time of assessment.</w:t>
            </w:r>
          </w:p>
          <w:p w:rsidR="00000000" w:rsidRPr="00A42B42" w:rsidP="00A42B42">
            <w:pPr>
              <w:pStyle w:val="BodyText"/>
            </w:pPr>
            <w:r w:rsidRPr="00A42B42">
              <w:t>Assessment must satisfy the Principles of Assessment and Rules of Evidence and all regulatory requirements included with</w:t>
            </w:r>
            <w:r w:rsidRPr="00A42B42">
              <w:t>in the Standards for Registered Training Organisations current at the time of assessment.</w:t>
            </w:r>
          </w:p>
          <w:p w:rsidR="00000000" w:rsidRPr="00A42B42" w:rsidP="00A42B42">
            <w:pPr>
              <w:pStyle w:val="BodyText"/>
            </w:pPr>
            <w:r w:rsidRPr="00A42B42">
              <w:t>Assessment must occur in workplace operational situations where it is appropriate to do so; where this is not appropriate, assessment must occur in simulated conditio</w:t>
            </w:r>
            <w:r w:rsidRPr="00A42B42">
              <w:t>ns involving realistic and authentic activities that replicate operational workplace conditions.</w:t>
            </w:r>
          </w:p>
          <w:p w:rsidR="00000000" w:rsidRPr="00A42B42" w:rsidP="00A42B42">
            <w:pPr>
              <w:pStyle w:val="BodyText"/>
            </w:pPr>
            <w:r w:rsidRPr="00A42B42">
              <w:t>Assessment processes and techniques must be appropriate to the language, literacy and numeracy requirements of the work being performed and the needs of the ca</w:t>
            </w:r>
            <w:r w:rsidRPr="00A42B42">
              <w:t>ndidate.</w:t>
            </w:r>
          </w:p>
          <w:p w:rsidR="00000000" w:rsidRPr="00A42B42" w:rsidP="00A42B42">
            <w:pPr>
              <w:pStyle w:val="BodyText"/>
            </w:pPr>
            <w:r w:rsidRPr="00A42B42">
              <w:t>Resources for assessment must include access to:</w:t>
            </w:r>
          </w:p>
          <w:p w:rsidR="00000000" w:rsidRPr="00A42B42" w:rsidP="00A42B42">
            <w:pPr>
              <w:pStyle w:val="ListBullet"/>
            </w:pPr>
            <w:r w:rsidRPr="00A42B42">
              <w:t>a range of relevant exercises, case studies and/or other simulations</w:t>
            </w:r>
          </w:p>
          <w:p w:rsidR="00000000" w:rsidRPr="00A42B42" w:rsidP="00A42B42">
            <w:pPr>
              <w:pStyle w:val="ListBullet"/>
            </w:pPr>
            <w:r w:rsidRPr="00A42B42">
              <w:t xml:space="preserve">relevant and appropriate materials, tools, facilities, equipment and PPE currently used in </w:t>
            </w:r>
            <w:r w:rsidRPr="00A42B42">
              <w:t>industry for applying sustainable ene</w:t>
            </w:r>
            <w:r w:rsidRPr="00A42B42">
              <w:t>rgy and environmental procedures</w:t>
            </w:r>
          </w:p>
          <w:p w:rsidR="00000000" w:rsidRPr="00A42B42" w:rsidP="00A42B42">
            <w:pPr>
              <w:pStyle w:val="ListBullet"/>
            </w:pPr>
            <w:r w:rsidRPr="00A42B42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A42B42" w:rsidP="00A42B42">
      <w:pPr>
        <w:pStyle w:val="NoPaddingFontSize1"/>
      </w:pPr>
    </w:p>
    <w:p w:rsidR="00000000" w:rsidRPr="00A42B42" w:rsidP="00A42B42">
      <w:pPr>
        <w:pStyle w:val="AllowPageBreak"/>
      </w:pPr>
    </w:p>
    <w:p w:rsidR="00000000" w:rsidRPr="00A42B42" w:rsidP="00A42B42">
      <w:pPr>
        <w:pStyle w:val="Heading1"/>
      </w:pPr>
      <w:bookmarkStart w:id="5" w:name="O_1002867"/>
      <w:bookmarkEnd w:id="5"/>
      <w:r w:rsidRPr="00A42B42">
        <w:t>Links</w:t>
      </w:r>
    </w:p>
    <w:p w:rsidR="00000000" w:rsidRPr="00A42B42" w:rsidP="007D122C">
      <w:pPr>
        <w:pStyle w:val="BodyText"/>
      </w:pPr>
      <w:r w:rsidRPr="00A42B42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B2B1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42B42" w:rsidP="00A42B42"/>
    <w:sectPr w:rsidSect="00A42B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B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B42" w:rsidRPr="007D122C" w:rsidP="007D12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B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2C" w:rsidP="00A42B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22C" w:rsidP="00A42B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D122C" w:rsidP="00A42B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B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B42" w:rsidRPr="007D122C" w:rsidP="007D12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B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2C" w:rsidRPr="002D2AF8" w:rsidP="00A42B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UETTDREL11 Apply sustainable energy and environmental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7D122C" w:rsidP="00A42B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3E6D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082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863F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B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B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B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B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B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B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B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B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B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B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B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B42"/>
  </w:style>
  <w:style w:type="character" w:customStyle="1" w:styleId="Heading1Char">
    <w:name w:val="Heading 1 Char"/>
    <w:basedOn w:val="DefaultParagraphFont"/>
    <w:link w:val="Heading1"/>
    <w:rsid w:val="00A42B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B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B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B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2B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2B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B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2B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B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B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B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B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B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B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B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B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B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B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B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B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B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B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B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2B42"/>
    <w:rPr>
      <w:b/>
      <w:spacing w:val="0"/>
    </w:rPr>
  </w:style>
  <w:style w:type="paragraph" w:customStyle="1" w:styleId="SuperTitle">
    <w:name w:val="SuperTitle"/>
    <w:basedOn w:val="Title"/>
    <w:rsid w:val="00A42B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B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B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2B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B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B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B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B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B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B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B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B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B42"/>
    <w:rPr>
      <w:i/>
    </w:rPr>
  </w:style>
  <w:style w:type="paragraph" w:styleId="Caption">
    <w:name w:val="caption"/>
    <w:basedOn w:val="BodyText"/>
    <w:next w:val="Normal"/>
    <w:qFormat/>
    <w:rsid w:val="00A42B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B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B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B42"/>
  </w:style>
  <w:style w:type="paragraph" w:styleId="TableofFigures">
    <w:name w:val="table of figures"/>
    <w:basedOn w:val="Normal"/>
    <w:next w:val="Normal"/>
    <w:semiHidden/>
    <w:rsid w:val="00A42B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B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2B42"/>
    <w:rPr>
      <w:rFonts w:ascii="Wingdings" w:hAnsi="Wingdings"/>
    </w:rPr>
  </w:style>
  <w:style w:type="paragraph" w:customStyle="1" w:styleId="TableHeading">
    <w:name w:val="Table Heading"/>
    <w:basedOn w:val="HeadingBase"/>
    <w:rsid w:val="00A42B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B42"/>
    <w:rPr>
      <w:color w:val="0033CC"/>
      <w:u w:val="none"/>
    </w:rPr>
  </w:style>
  <w:style w:type="paragraph" w:customStyle="1" w:styleId="BodyTextRight">
    <w:name w:val="Body Text Right"/>
    <w:basedOn w:val="BodyText"/>
    <w:rsid w:val="00A42B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B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B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B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B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B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B42"/>
    <w:rPr>
      <w:sz w:val="32"/>
    </w:rPr>
  </w:style>
  <w:style w:type="paragraph" w:customStyle="1" w:styleId="HeadingProcedure">
    <w:name w:val="Heading Procedure"/>
    <w:basedOn w:val="HeadingBase"/>
    <w:next w:val="Normal"/>
    <w:rsid w:val="00A42B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B42"/>
    <w:pPr>
      <w:spacing w:before="60" w:after="60"/>
    </w:pPr>
  </w:style>
  <w:style w:type="paragraph" w:styleId="ListContinue">
    <w:name w:val="List Continue"/>
    <w:basedOn w:val="List"/>
    <w:rsid w:val="00A42B42"/>
    <w:pPr>
      <w:ind w:firstLine="0"/>
    </w:pPr>
  </w:style>
  <w:style w:type="paragraph" w:customStyle="1" w:styleId="ListNote">
    <w:name w:val="List Note"/>
    <w:basedOn w:val="List"/>
    <w:rsid w:val="00A42B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B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B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B42"/>
    <w:rPr>
      <w:rFonts w:ascii="Courier New" w:hAnsi="Courier New"/>
    </w:rPr>
  </w:style>
  <w:style w:type="paragraph" w:customStyle="1" w:styleId="NoteBullet">
    <w:name w:val="Note Bullet"/>
    <w:basedOn w:val="Note"/>
    <w:rsid w:val="00A42B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B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B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B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B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2B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B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B42"/>
    <w:rPr>
      <w:b/>
      <w:smallCaps/>
    </w:rPr>
  </w:style>
  <w:style w:type="paragraph" w:customStyle="1" w:styleId="TableListNumber">
    <w:name w:val="Table List Number"/>
    <w:basedOn w:val="ListNumber"/>
    <w:rsid w:val="00A42B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B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B42"/>
    <w:pPr>
      <w:numPr>
        <w:numId w:val="9"/>
      </w:numPr>
    </w:pPr>
  </w:style>
  <w:style w:type="paragraph" w:customStyle="1" w:styleId="ListAlpha2">
    <w:name w:val="List Alpha 2"/>
    <w:basedOn w:val="List2"/>
    <w:rsid w:val="00A42B42"/>
    <w:pPr>
      <w:numPr>
        <w:numId w:val="8"/>
      </w:numPr>
    </w:pPr>
  </w:style>
  <w:style w:type="paragraph" w:styleId="List2">
    <w:name w:val="List 2"/>
    <w:basedOn w:val="BodyText"/>
    <w:rsid w:val="00A42B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B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B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B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B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B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2B42"/>
    <w:pPr>
      <w:numPr>
        <w:numId w:val="4"/>
      </w:numPr>
    </w:pPr>
  </w:style>
  <w:style w:type="paragraph" w:styleId="ListContinue2">
    <w:name w:val="List Continue 2"/>
    <w:basedOn w:val="List2"/>
    <w:rsid w:val="00A42B42"/>
    <w:pPr>
      <w:ind w:firstLine="0"/>
    </w:pPr>
  </w:style>
  <w:style w:type="paragraph" w:styleId="ListContinue3">
    <w:name w:val="List Continue 3"/>
    <w:basedOn w:val="List3"/>
    <w:rsid w:val="00A42B42"/>
    <w:pPr>
      <w:ind w:left="1021" w:firstLine="0"/>
    </w:pPr>
  </w:style>
  <w:style w:type="paragraph" w:styleId="ListContinue4">
    <w:name w:val="List Continue 4"/>
    <w:basedOn w:val="List4"/>
    <w:rsid w:val="00A42B42"/>
    <w:pPr>
      <w:ind w:firstLine="0"/>
    </w:pPr>
  </w:style>
  <w:style w:type="paragraph" w:styleId="ListContinue5">
    <w:name w:val="List Continue 5"/>
    <w:basedOn w:val="List5"/>
    <w:rsid w:val="00A42B42"/>
    <w:pPr>
      <w:ind w:firstLine="0"/>
    </w:pPr>
  </w:style>
  <w:style w:type="paragraph" w:styleId="ListNumber3">
    <w:name w:val="List Number 3"/>
    <w:basedOn w:val="List3"/>
    <w:rsid w:val="00A42B42"/>
    <w:pPr>
      <w:numPr>
        <w:numId w:val="5"/>
      </w:numPr>
    </w:pPr>
  </w:style>
  <w:style w:type="paragraph" w:styleId="ListNumber4">
    <w:name w:val="List Number 4"/>
    <w:basedOn w:val="List4"/>
    <w:rsid w:val="00A42B42"/>
    <w:pPr>
      <w:numPr>
        <w:numId w:val="6"/>
      </w:numPr>
    </w:pPr>
  </w:style>
  <w:style w:type="paragraph" w:styleId="ListNumber5">
    <w:name w:val="List Number 5"/>
    <w:basedOn w:val="List5"/>
    <w:rsid w:val="00A42B42"/>
    <w:pPr>
      <w:numPr>
        <w:numId w:val="7"/>
      </w:numPr>
    </w:pPr>
  </w:style>
  <w:style w:type="paragraph" w:styleId="BlockText">
    <w:name w:val="Block Text"/>
    <w:basedOn w:val="Normal"/>
    <w:rsid w:val="00A42B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B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B42"/>
    <w:rPr>
      <w:sz w:val="16"/>
      <w:vertAlign w:val="superscript"/>
    </w:rPr>
  </w:style>
  <w:style w:type="character" w:customStyle="1" w:styleId="Symbols">
    <w:name w:val="Symbols"/>
    <w:basedOn w:val="DefaultParagraphFont"/>
    <w:rsid w:val="00A42B42"/>
    <w:rPr>
      <w:rFonts w:ascii="Symbol" w:hAnsi="Symbol"/>
    </w:rPr>
  </w:style>
  <w:style w:type="character" w:customStyle="1" w:styleId="MenuOptions">
    <w:name w:val="Menu Options"/>
    <w:basedOn w:val="DefaultParagraphFont"/>
    <w:rsid w:val="00A42B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B42"/>
    <w:rPr>
      <w:b/>
    </w:rPr>
  </w:style>
  <w:style w:type="character" w:customStyle="1" w:styleId="Underlined">
    <w:name w:val="Underlined"/>
    <w:basedOn w:val="DefaultParagraphFont"/>
    <w:rsid w:val="00A42B42"/>
    <w:rPr>
      <w:u w:val="single"/>
    </w:rPr>
  </w:style>
  <w:style w:type="paragraph" w:customStyle="1" w:styleId="TableBodyTextRight">
    <w:name w:val="Table Body Text Right"/>
    <w:basedOn w:val="TableBodyText"/>
    <w:rsid w:val="00A42B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B42"/>
    <w:rPr>
      <w:sz w:val="18"/>
    </w:rPr>
  </w:style>
  <w:style w:type="paragraph" w:customStyle="1" w:styleId="BodySmallRight">
    <w:name w:val="Body Small Right"/>
    <w:basedOn w:val="BodyTextRight"/>
    <w:rsid w:val="00A42B42"/>
    <w:rPr>
      <w:sz w:val="18"/>
      <w:szCs w:val="18"/>
    </w:rPr>
  </w:style>
  <w:style w:type="paragraph" w:customStyle="1" w:styleId="MarginEdition">
    <w:name w:val="Margin Edition"/>
    <w:basedOn w:val="MarginNote"/>
    <w:rsid w:val="00A42B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B42"/>
    <w:rPr>
      <w:sz w:val="2"/>
      <w:szCs w:val="2"/>
    </w:rPr>
  </w:style>
  <w:style w:type="character" w:customStyle="1" w:styleId="Small">
    <w:name w:val="Small"/>
    <w:basedOn w:val="DefaultParagraphFont"/>
    <w:rsid w:val="00A42B42"/>
    <w:rPr>
      <w:sz w:val="16"/>
    </w:rPr>
  </w:style>
  <w:style w:type="paragraph" w:customStyle="1" w:styleId="WideTable">
    <w:name w:val="Wide Table"/>
    <w:basedOn w:val="Normal"/>
    <w:rsid w:val="00A42B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B42"/>
  </w:style>
  <w:style w:type="paragraph" w:styleId="Quote">
    <w:name w:val="Quote"/>
    <w:basedOn w:val="Heading1"/>
    <w:link w:val="QuoteChar"/>
    <w:qFormat/>
    <w:rsid w:val="00A42B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B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B42"/>
    <w:pPr>
      <w:pageBreakBefore/>
    </w:pPr>
  </w:style>
  <w:style w:type="paragraph" w:customStyle="1" w:styleId="Border">
    <w:name w:val="Border"/>
    <w:basedOn w:val="Normal"/>
    <w:qFormat/>
    <w:rsid w:val="00A42B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B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B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B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B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B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B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B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B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B42"/>
    <w:rPr>
      <w:u w:val="single"/>
    </w:rPr>
  </w:style>
  <w:style w:type="character" w:customStyle="1" w:styleId="BoldandItalics">
    <w:name w:val="Bold and Italics"/>
    <w:qFormat/>
    <w:rsid w:val="00A42B42"/>
    <w:rPr>
      <w:b/>
      <w:i/>
      <w:u w:val="none"/>
    </w:rPr>
  </w:style>
  <w:style w:type="paragraph" w:styleId="BalloonText">
    <w:name w:val="Balloon Text"/>
    <w:basedOn w:val="Normal"/>
    <w:link w:val="BalloonTextChar"/>
    <w:rsid w:val="00A42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B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B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B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B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B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B42"/>
    <w:pPr>
      <w:spacing w:before="0" w:after="0"/>
    </w:pPr>
  </w:style>
  <w:style w:type="paragraph" w:customStyle="1" w:styleId="BodyTextBold">
    <w:name w:val="Body Text Bold"/>
    <w:basedOn w:val="BodyText"/>
    <w:qFormat/>
    <w:rsid w:val="00A42B42"/>
    <w:rPr>
      <w:b/>
    </w:rPr>
  </w:style>
  <w:style w:type="character" w:styleId="Hyperlink">
    <w:name w:val="Hyperlink"/>
    <w:basedOn w:val="DefaultParagraphFont"/>
    <w:uiPriority w:val="99"/>
    <w:unhideWhenUsed/>
    <w:rsid w:val="007D12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4248</Characters>
  <Application>Microsoft Office Word</Application>
  <DocSecurity>0</DocSecurity>
  <Lines>96</Lines>
  <Paragraphs>69</Paragraphs>
  <ScaleCrop>false</ScaleCrop>
  <Company>Author-it Software Corporation Ltd.</Company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UETTDREL11 Apply sustainable energy and environmental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2021-04-20T06:44:00Z</dcterms:created>
  <dcterms:modified xsi:type="dcterms:W3CDTF">2021-04-20T06:44:00Z</dcterms:modified>
</cp:coreProperties>
</file>