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714" w:rsidP="00491714">
      <w:pPr>
        <w:pStyle w:val="Title"/>
      </w:pPr>
      <w:r>
        <w:fldChar w:fldCharType="begin"/>
      </w:r>
      <w:r>
        <w:instrText xml:space="preserve"> TITLE   \* MERGEFORMAT </w:instrText>
      </w:r>
      <w:r>
        <w:fldChar w:fldCharType="separate"/>
      </w:r>
      <w:r>
        <w:t>UETTDRDS56 Design power system transmission, sub-transmission &amp; zone substation civil &amp; structural components</w:t>
      </w:r>
      <w:r>
        <w:fldChar w:fldCharType="end"/>
      </w:r>
    </w:p>
    <w:p w:rsidR="00491714" w:rsidP="00491714">
      <w:pPr>
        <w:pStyle w:val="Version"/>
        <w:sectPr w:rsidSect="00531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FD1" w:rsidP="00531FD1">
      <w:pPr>
        <w:pStyle w:val="SuperHeading"/>
      </w:pPr>
      <w:r w:rsidRPr="00531FD1">
        <w:t>UETTDRDS56 Design power system transmission, sub-transmission &amp; zone substation civil &amp; structural components</w:t>
      </w:r>
    </w:p>
    <w:p w:rsidR="00000000" w:rsidRPr="00531FD1" w:rsidP="00531FD1">
      <w:pPr>
        <w:pStyle w:val="Heading1"/>
      </w:pPr>
      <w:bookmarkStart w:id="1" w:name="O_1002794"/>
      <w:bookmarkEnd w:id="1"/>
      <w:r w:rsidRPr="00531FD1">
        <w:t>Modification History</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Release 1. This is the first release of this unit of competency in the UET Transmission, Distribution and Rail Sector Training Package.</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2" w:name="O_1002795"/>
      <w:bookmarkEnd w:id="2"/>
      <w:r w:rsidRPr="00531FD1">
        <w:t>Application</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This unit covers the design of transmission, sub-transmission and zone substation civil</w:t>
            </w:r>
            <w:r w:rsidRPr="00531FD1">
              <w:t xml:space="preserve"> and structural components. It includes augmentations of existing substations or new substations on green field sites. The design includes civil and structural engineering aspects and must conform to safety regulations and environmental standards and incor</w:t>
            </w:r>
            <w:r w:rsidRPr="00531FD1">
              <w:t>porate the principles of safe design. However, it excludes the certification of civil and structural design.</w:t>
            </w:r>
          </w:p>
          <w:p w:rsidR="00000000" w:rsidRPr="00531FD1" w:rsidP="00531FD1">
            <w:pPr>
              <w:pStyle w:val="BodyText"/>
            </w:pPr>
            <w:r w:rsidRPr="00531FD1">
              <w:t>The application of the skills and knowledge described in this unit may require a licence/registration to practice in the workplace subject to regul</w:t>
            </w:r>
            <w:r w:rsidRPr="00531FD1">
              <w:t xml:space="preserve">ations for undertaking of electrical work.  </w:t>
            </w:r>
          </w:p>
          <w:p w:rsidR="00000000" w:rsidRPr="00531FD1" w:rsidP="00531FD1">
            <w:pPr>
              <w:pStyle w:val="BodyText"/>
            </w:pPr>
            <w:r w:rsidRPr="00531FD1">
              <w:t>Other conditions may apply under state and territory legislative and regulatory licencing requirements which must be confirmed prior to commencing this unit.</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3" w:name="O_1002796"/>
      <w:bookmarkEnd w:id="3"/>
      <w:r w:rsidRPr="00531FD1">
        <w:t>Pre-requisite Unit</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Common Unit G</w:t>
            </w:r>
            <w:r w:rsidRPr="00531FD1">
              <w:t>roup</w:t>
            </w:r>
          </w:p>
          <w:p w:rsidR="00000000" w:rsidRPr="00531FD1" w:rsidP="00531FD1">
            <w:pPr>
              <w:pStyle w:val="BodyText"/>
            </w:pPr>
            <w:r w:rsidRPr="00531FD1">
              <w:t>UEENEEE101A Apply Occupational Health and Safety regulations, codes and practices in the workplace</w:t>
            </w:r>
          </w:p>
          <w:p w:rsidR="00000000" w:rsidRPr="00531FD1" w:rsidP="00531FD1">
            <w:pPr>
              <w:pStyle w:val="BodyText"/>
            </w:pPr>
            <w:r w:rsidRPr="00531FD1">
              <w:t>UEENEEE104A Solve problems in d.c. circuits</w:t>
            </w:r>
          </w:p>
          <w:p w:rsidR="00000000" w:rsidRPr="00531FD1" w:rsidP="00531FD1">
            <w:pPr>
              <w:pStyle w:val="BodyText"/>
            </w:pPr>
            <w:r w:rsidRPr="00531FD1">
              <w:t>UEENEEE107A Use drawings, diagrams, schedules, standards, codes and specifications</w:t>
            </w:r>
          </w:p>
          <w:p w:rsidR="00000000" w:rsidRPr="00531FD1" w:rsidP="00531FD1">
            <w:pPr>
              <w:pStyle w:val="BodyText"/>
            </w:pPr>
            <w:r w:rsidRPr="00531FD1">
              <w:t>UEENEEG101A Solve problem</w:t>
            </w:r>
            <w:r w:rsidRPr="00531FD1">
              <w:t>s in electromagnetic devices and related circuits</w:t>
            </w:r>
          </w:p>
          <w:p w:rsidR="00000000" w:rsidRPr="00531FD1" w:rsidP="00531FD1">
            <w:pPr>
              <w:pStyle w:val="BodyText"/>
            </w:pPr>
            <w:r w:rsidRPr="00531FD1">
              <w:t>UEENEEG102A Solve problems in low voltage a.c. circuits</w:t>
            </w:r>
          </w:p>
          <w:p w:rsidR="00000000" w:rsidRPr="00531FD1" w:rsidP="00531FD1">
            <w:pPr>
              <w:pStyle w:val="BodyText"/>
            </w:pPr>
            <w:r w:rsidRPr="00531FD1">
              <w:t>UETTDRDS39 Prepare and manage detailed construction plans for electrical power system infrastructure</w:t>
            </w:r>
          </w:p>
          <w:p w:rsidR="00000000" w:rsidRPr="00531FD1" w:rsidP="00531FD1">
            <w:pPr>
              <w:pStyle w:val="BodyText"/>
            </w:pPr>
            <w:r w:rsidRPr="00531FD1">
              <w:t>UETTDRDS44 Design power system substations modifi</w:t>
            </w:r>
            <w:r w:rsidRPr="00531FD1">
              <w:t>cations</w:t>
            </w:r>
          </w:p>
          <w:p w:rsidR="00000000" w:rsidRPr="00531FD1" w:rsidP="00531FD1">
            <w:pPr>
              <w:pStyle w:val="BodyText"/>
            </w:pPr>
            <w:r w:rsidRPr="00531FD1">
              <w:t>UETTDREL11 Apply sustainable energy and environmental procedures</w:t>
            </w:r>
          </w:p>
          <w:p w:rsidR="00000000" w:rsidRPr="00531FD1" w:rsidP="00531FD1">
            <w:pPr>
              <w:pStyle w:val="BodyText"/>
            </w:pPr>
            <w:r w:rsidRPr="00531FD1">
              <w:t>UETTDREL16 Working safely near live electrical apparatus</w:t>
            </w:r>
          </w:p>
          <w:p w:rsidR="00000000" w:rsidRPr="00531FD1" w:rsidP="00531FD1">
            <w:pPr>
              <w:pStyle w:val="BodyText"/>
            </w:pPr>
            <w:r w:rsidRPr="00531FD1">
              <w:t>UETTDRIS62 Implement and monitor the power system organisational WHS/OHS policies, procedures and programs</w:t>
            </w:r>
          </w:p>
          <w:p w:rsidR="00000000" w:rsidRPr="00531FD1" w:rsidP="00531FD1">
            <w:pPr>
              <w:pStyle w:val="BodyText"/>
            </w:pPr>
            <w:r w:rsidRPr="00531FD1">
              <w:t xml:space="preserve">UETTDRIS63 Implement &amp; monitor power system environmental &amp; sustainable energy </w:t>
            </w:r>
            <w:r w:rsidRPr="00531FD1">
              <w:t>management policies &amp; procedures</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4" w:name="O_1002797"/>
      <w:bookmarkEnd w:id="4"/>
      <w:r w:rsidRPr="00531FD1">
        <w:t>Competency Field</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Design</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5" w:name="O_1002798"/>
      <w:bookmarkEnd w:id="5"/>
      <w:r w:rsidRPr="00531FD1">
        <w:t>Unit Sector</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Not applicable.</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6" w:name="O_1002799"/>
      <w:bookmarkEnd w:id="6"/>
      <w:r w:rsidRPr="00531FD1">
        <w:t>Elements and Performance Crit</w:t>
      </w:r>
      <w:r w:rsidRPr="00531FD1">
        <w:t>eria</w:t>
      </w:r>
    </w:p>
    <w:tbl>
      <w:tblPr>
        <w:tblW w:w="9498" w:type="dxa"/>
        <w:tblLayout w:type="fixed"/>
        <w:tblCellMar>
          <w:left w:w="62" w:type="dxa"/>
          <w:right w:w="62" w:type="dxa"/>
        </w:tblCellMar>
        <w:tblLook w:val="0000"/>
      </w:tblPr>
      <w:tblGrid>
        <w:gridCol w:w="339"/>
        <w:gridCol w:w="2870"/>
        <w:gridCol w:w="697"/>
        <w:gridCol w:w="5592"/>
      </w:tblGrid>
      <w:tr w:rsidTr="00531F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PERFORMANCE CRITERIA</w:t>
            </w:r>
          </w:p>
        </w:tc>
      </w:tr>
      <w:tr w:rsidTr="00531F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Performance criteria describe the performance needed to demonstrate achievement of the element.</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Plan for and coordinate the design of transmission, s</w:t>
            </w:r>
            <w:r w:rsidRPr="00531FD1">
              <w:rPr>
                <w:rStyle w:val="SpecialBold"/>
              </w:rPr>
              <w:t>ub-transmission and zone substation civil and structural components</w:t>
            </w: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Work health and safety (WHS)/occupational health and safety (OHS) practices/procedures and environmental and sustainable energy procedures, which may influence the design of substation</w:t>
            </w:r>
            <w:r w:rsidRPr="00531FD1">
              <w:t>s, are reviewed and determined</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Purpose of the design is established and expected outcomes of the work are confirmed with appropriate personnel</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Established policies, procedures a</w:t>
            </w:r>
            <w:r w:rsidRPr="00531FD1">
              <w:t>nd specifications for the design are obtained or established with appropriate personnel</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Equipment/tools and personal protective equipment (PPE) are selected and coordinated based on specified requirements and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Work is pr</w:t>
            </w:r>
            <w:r w:rsidRPr="00531FD1">
              <w:t>ioritised and sequenced for the most efficient and effective outcome following consultation with others for completion within acceptable timeframes, to a quality standard and in accordance with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Risk control measures are identi</w:t>
            </w:r>
            <w:r w:rsidRPr="00531FD1">
              <w:t>fied, prioritised and evaluated against the work schedule</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 xml:space="preserve">Relevant work permits are secured to coordinate the performance of work according to requirements and/or </w:t>
            </w:r>
            <w:r w:rsidRPr="00531FD1">
              <w:t>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Resources, including personnel, equipment, tools and PPE, required for the job are identified, scheduled and coordinated and confirmed safe and in technical working order</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Liaison and communication issues with others/authorised personnel, authorities</w:t>
            </w:r>
            <w:r w:rsidRPr="00531FD1">
              <w:t>, clients and land owners are resolved and activities coordinated to carry out work</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Site is prepared according to the work schedule and to minimise risk and damage to property, commerce and individuals in accordance with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1</w:t>
            </w:r>
            <w:r w:rsidRPr="00531F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Personnel participating in the work, including plant operators and contractors, are fully briefed and respective responsibilities coordinated and authorised, where applicable, in accordance with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Carry out and coordinate the design of transmission, sub-transmission and zone substation civil and structural components</w:t>
            </w: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Circuit/systems modelling is used to evaluate alternative proposals in accordance with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WHS/OHS and sustainable energy principles, functionality and practices to avoid incidence and accidents and minimise waste are incorporated into the project in accordance with requirements and/or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System design decisions are ma</w:t>
            </w:r>
            <w:r w:rsidRPr="00531FD1">
              <w:t>de on the basis of safety and effective outcomes according to requirements and/or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 xml:space="preserve">Mathematical models of the design are used to analyse the effectiveness of the finished project in accordance with requirements and established </w:t>
            </w:r>
            <w:r w:rsidRPr="00531FD1">
              <w:t>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 xml:space="preserve">Technical advice is given regarding potential hazards, safety risks and control measures so that monitoring and preventative action can be undertaken and/or </w:t>
            </w:r>
            <w:r w:rsidRPr="00531FD1">
              <w:t>appropriate authorities consulted, where necessary, in accordance with requirements and established procedures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Essential knowledge and associated skills are applied to analyse specific data and compare it with compliance specifications to ensure com</w:t>
            </w:r>
            <w:r w:rsidRPr="00531FD1">
              <w:t>pletion of the project within an agreed timeframe according to requirements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Solutions to non-routine problems are identified and actioned using acquired essential knowledge and associated skills according to requirements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Quality of work is mo</w:t>
            </w:r>
            <w:r w:rsidRPr="00531FD1">
              <w:t>nitored against personal performance agreement and/or established organisational and professional standards</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rPr>
                <w:rStyle w:val="SpecialBold"/>
              </w:rPr>
              <w:t>Complete and coordinate the design of transmission, sub-transmission and zone substation civil and structural components</w:t>
            </w: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Final inspections of the design are undertaken to ensure it complies with all requirements and includes all specifications and documentations needed to complete the design brief</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Appropriate personnel are notified of completion and reports and/or com</w:t>
            </w:r>
            <w:r w:rsidRPr="00531FD1">
              <w:t>pletion documents are finalised</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Reports and/or completion documents are submitted to relevant personnel/organisations for approval and, where applicable, statutory or regulatory approval</w:t>
            </w:r>
          </w:p>
        </w:tc>
      </w:tr>
      <w:tr w:rsidTr="00531F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1F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Approved copies of design documents are issued and reco</w:t>
            </w:r>
            <w:r w:rsidRPr="00531FD1">
              <w:t>rds are updated in accordance with established procedures</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7" w:name="O_1002800"/>
      <w:bookmarkEnd w:id="7"/>
      <w:r w:rsidRPr="00531FD1">
        <w:t>Foundation Skills</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Foundation skills essential to performance are explicit in the performance criteria of this unit of competency.</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8" w:name="O_1002801"/>
      <w:bookmarkEnd w:id="8"/>
      <w:r w:rsidRPr="00531FD1">
        <w:t>Range of Conditions</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Range is restricted to essential operating conditions and any other variables essential to the work environment.</w:t>
            </w:r>
          </w:p>
          <w:p w:rsidR="00000000" w:rsidRPr="00531FD1" w:rsidP="00531FD1">
            <w:pPr>
              <w:pStyle w:val="BodyText"/>
            </w:pPr>
            <w:r w:rsidRPr="00531FD1">
              <w:t>Non-essential conditions may be found in the Companion Volume Implementation Guide.</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9" w:name="O_1002802"/>
      <w:bookmarkEnd w:id="9"/>
      <w:r w:rsidRPr="00531FD1">
        <w:t>Unit Mapping Information</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This unit rep</w:t>
            </w:r>
            <w:r w:rsidRPr="00531FD1">
              <w:t>laces and is equivalent to UETTDRDS56A Design power system transmission, sub-transmission and zone substation civil and structural components.</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10" w:name="O_1002809"/>
      <w:bookmarkEnd w:id="10"/>
      <w:r w:rsidRPr="00531FD1">
        <w:t>Links</w:t>
      </w:r>
    </w:p>
    <w:p w:rsidR="00000000" w:rsidRPr="00531FD1" w:rsidP="00491714">
      <w:pPr>
        <w:pStyle w:val="BodyText"/>
      </w:pPr>
      <w:r w:rsidRPr="00531FD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578E">
        <w:rPr>
          <w:rStyle w:val="Hyperlink"/>
        </w:rPr>
        <w:t>https://vetnet.gov.au/Pages/TrainingDocs.aspx?q=229bace1-b7bc-4653-9300-dffb13ecfad7</w:t>
      </w:r>
      <w:r>
        <w:fldChar w:fldCharType="end"/>
      </w:r>
    </w:p>
    <w:p w:rsidR="00000000" w:rsidRPr="00531FD1" w:rsidP="00491714">
      <w:pPr>
        <w:pStyle w:val="BodyText"/>
        <w:sectPr w:rsidSect="00531FD1">
          <w:headerReference w:type="default" r:id="rId10"/>
          <w:footerReference w:type="default" r:id="rId11"/>
          <w:pgSz w:w="11908" w:h="16833"/>
          <w:pgMar w:top="1702" w:right="1418" w:bottom="1702" w:left="1418" w:header="992" w:footer="992" w:gutter="0"/>
          <w:cols w:space="720"/>
          <w:noEndnote/>
          <w:docGrid w:linePitch="299"/>
        </w:sectPr>
      </w:pPr>
    </w:p>
    <w:p w:rsidR="00000000" w:rsidRPr="00531FD1" w:rsidP="00531FD1">
      <w:pPr>
        <w:pStyle w:val="SuperHeading"/>
      </w:pPr>
      <w:r w:rsidRPr="00531FD1">
        <w:t>Assessment Requirements for UETTDRDS56 Design power system transmission, sub-transmission &amp; zone substation civil &amp; structural com</w:t>
      </w:r>
      <w:r w:rsidRPr="00531FD1">
        <w:t>ponents</w:t>
      </w:r>
    </w:p>
    <w:p w:rsidR="00000000" w:rsidRPr="00531FD1" w:rsidP="00531FD1">
      <w:pPr>
        <w:pStyle w:val="Heading1"/>
      </w:pPr>
      <w:bookmarkStart w:id="11" w:name="O_1002804"/>
      <w:bookmarkEnd w:id="11"/>
      <w:r w:rsidRPr="00531FD1">
        <w:t>Modification History</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Release 1. This is the first release of this unit of competency in the UET Transmission, Distribution and Rail Sector Training Package.</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12" w:name="O_1002805"/>
      <w:bookmarkEnd w:id="12"/>
      <w:r w:rsidRPr="00531FD1">
        <w:t>Performance Evidence</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 xml:space="preserve">Evidence required to demonstrate competence in this unit must be relevant to and satisfy all of the requirements of the elements and performance criteria on at least two separate occasions and include:  </w:t>
            </w:r>
          </w:p>
        </w:tc>
      </w:tr>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ListBullet"/>
            </w:pPr>
            <w:r w:rsidRPr="00531FD1">
              <w:t>applying relevant work health and safety (WHS)/occ</w:t>
            </w:r>
            <w:r w:rsidRPr="00531FD1">
              <w:t>upational health and safety (OHS) requirements, including the use of risk control measures</w:t>
            </w:r>
          </w:p>
          <w:p w:rsidR="00000000" w:rsidRPr="00531FD1" w:rsidP="00531FD1">
            <w:pPr>
              <w:pStyle w:val="ListBullet"/>
            </w:pPr>
            <w:r w:rsidRPr="00531FD1">
              <w:t>applying sustainable energy principles and practices</w:t>
            </w:r>
          </w:p>
          <w:p w:rsidR="00000000" w:rsidRPr="00531FD1" w:rsidP="00531FD1">
            <w:pPr>
              <w:pStyle w:val="ListBullet"/>
            </w:pPr>
            <w:r w:rsidRPr="00531FD1">
              <w:t>completing two (2) compliant technical designs, including each of the following:</w:t>
            </w:r>
          </w:p>
          <w:p w:rsidR="00000000" w:rsidRPr="00531FD1" w:rsidP="00531FD1">
            <w:pPr>
              <w:pStyle w:val="ListBullet2"/>
            </w:pPr>
            <w:r w:rsidRPr="00531FD1">
              <w:t>earthworks</w:t>
            </w:r>
          </w:p>
          <w:p w:rsidR="00000000" w:rsidRPr="00531FD1" w:rsidP="00531FD1">
            <w:pPr>
              <w:pStyle w:val="ListBullet2"/>
            </w:pPr>
            <w:r w:rsidRPr="00531FD1">
              <w:t>foundation design, including relationship to geotechnical analysis</w:t>
            </w:r>
          </w:p>
          <w:p w:rsidR="00000000" w:rsidRPr="00531FD1" w:rsidP="00531FD1">
            <w:pPr>
              <w:pStyle w:val="ListBullet2"/>
            </w:pPr>
            <w:r w:rsidRPr="00531FD1">
              <w:t>footing layout, including assignment of reference levels and benchmark</w:t>
            </w:r>
          </w:p>
          <w:p w:rsidR="00000000" w:rsidRPr="00531FD1" w:rsidP="00531FD1">
            <w:pPr>
              <w:pStyle w:val="ListBullet2"/>
            </w:pPr>
            <w:r w:rsidRPr="00531FD1">
              <w:t>conduits, pits and drainage</w:t>
            </w:r>
          </w:p>
          <w:p w:rsidR="00000000" w:rsidRPr="00531FD1" w:rsidP="00531FD1">
            <w:pPr>
              <w:pStyle w:val="ListBullet2"/>
            </w:pPr>
            <w:r w:rsidRPr="00531FD1">
              <w:t>hydraulics, including fire and safety facilities</w:t>
            </w:r>
          </w:p>
          <w:p w:rsidR="00000000" w:rsidRPr="00531FD1" w:rsidP="00531FD1">
            <w:pPr>
              <w:pStyle w:val="ListBullet2"/>
            </w:pPr>
            <w:r w:rsidRPr="00531FD1">
              <w:t>access roads</w:t>
            </w:r>
          </w:p>
          <w:p w:rsidR="00000000" w:rsidRPr="00531FD1" w:rsidP="00531FD1">
            <w:pPr>
              <w:pStyle w:val="ListBullet2"/>
            </w:pPr>
            <w:r w:rsidRPr="00531FD1">
              <w:t xml:space="preserve">fences and gates, including </w:t>
            </w:r>
            <w:r w:rsidRPr="00531FD1">
              <w:t>implementation of earth potential rise (EPR) control measures</w:t>
            </w:r>
          </w:p>
          <w:p w:rsidR="00000000" w:rsidRPr="00531FD1" w:rsidP="00531FD1">
            <w:pPr>
              <w:pStyle w:val="ListBullet2"/>
            </w:pPr>
            <w:r w:rsidRPr="00531FD1">
              <w:t>transformer fire and sound attenuation measures, bunding and oil containment</w:t>
            </w:r>
          </w:p>
          <w:p w:rsidR="00000000" w:rsidRPr="00531FD1" w:rsidP="00531FD1">
            <w:pPr>
              <w:pStyle w:val="ListBullet2"/>
            </w:pPr>
            <w:r w:rsidRPr="00531FD1">
              <w:t>indoor and outdoor structural steelwork</w:t>
            </w:r>
          </w:p>
          <w:p w:rsidR="00000000" w:rsidRPr="00531FD1" w:rsidP="00531FD1">
            <w:pPr>
              <w:pStyle w:val="ListBullet"/>
            </w:pPr>
            <w:r w:rsidRPr="00531FD1">
              <w:t>completing designs, including all the following:</w:t>
            </w:r>
          </w:p>
          <w:p w:rsidR="00000000" w:rsidRPr="00531FD1" w:rsidP="00531FD1">
            <w:pPr>
              <w:pStyle w:val="ListBullet2"/>
            </w:pPr>
            <w:r w:rsidRPr="00531FD1">
              <w:t>activities that address th</w:t>
            </w:r>
            <w:r w:rsidRPr="00531FD1">
              <w:t>e correction of errors in the process</w:t>
            </w:r>
          </w:p>
          <w:p w:rsidR="00000000" w:rsidRPr="00531FD1" w:rsidP="00531FD1">
            <w:pPr>
              <w:pStyle w:val="ListBullet2"/>
            </w:pPr>
            <w:r w:rsidRPr="00531FD1">
              <w:t>application of a design control checklist which lists all of the required design activities to be carried out in this process</w:t>
            </w:r>
          </w:p>
          <w:p w:rsidR="00000000" w:rsidRPr="00531FD1" w:rsidP="00531FD1">
            <w:pPr>
              <w:pStyle w:val="ListBullet"/>
            </w:pPr>
            <w:r w:rsidRPr="00531FD1">
              <w:t>dealing with unplanned events on at least one (1) occasion.</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13" w:name="O_1002806"/>
      <w:bookmarkEnd w:id="13"/>
      <w:r w:rsidRPr="00531FD1">
        <w:t>Knowledge Evidence</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31FD1">
            <w:pPr>
              <w:pStyle w:val="BodyText"/>
              <w:rPr>
                <w:lang w:val="en-NZ"/>
              </w:rPr>
            </w:pPr>
            <w:r w:rsidRPr="00531FD1">
              <w:t>Evidence required to demonstrate competence in this unit must be relevant to and satisfy all of the requirements of the elements and performance criteria and include knowledge of:</w:t>
            </w:r>
          </w:p>
        </w:tc>
      </w:tr>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ListBullet"/>
            </w:pPr>
            <w:r w:rsidRPr="00531FD1">
              <w:t>principles of transmission, sub-transmission and zone s</w:t>
            </w:r>
            <w:r w:rsidRPr="00531FD1">
              <w:t>ubstation civil and structural designs encompassing:</w:t>
            </w:r>
          </w:p>
          <w:p w:rsidR="00000000" w:rsidRPr="00531FD1" w:rsidP="00531FD1">
            <w:pPr>
              <w:pStyle w:val="ListBullet2"/>
            </w:pPr>
            <w:r w:rsidRPr="00531FD1">
              <w:t>Commonwealth/state/territory and local government legislation, standards, codes, supply authority regulations and/or enterprise requirements applicable to the substation design management principles</w:t>
            </w:r>
          </w:p>
          <w:p w:rsidR="00000000" w:rsidRPr="00531FD1" w:rsidP="00531FD1">
            <w:pPr>
              <w:pStyle w:val="ListBullet2"/>
            </w:pPr>
            <w:r w:rsidRPr="00531FD1">
              <w:t>requirements for the use of the substation system construction manuals, system diagrams/plans and drawings and for plans such as work method statements for the control of WHS/OHS risks</w:t>
            </w:r>
          </w:p>
          <w:p w:rsidR="00000000" w:rsidRPr="00531FD1" w:rsidP="00531FD1">
            <w:pPr>
              <w:pStyle w:val="ListBullet2"/>
            </w:pPr>
            <w:r w:rsidRPr="00531FD1">
              <w:t xml:space="preserve">types of activities to be carried out - earthworks, foundation design, </w:t>
            </w:r>
            <w:r w:rsidRPr="00531FD1">
              <w:t>including relationship to geotechnical analysis; footing layout; including assignment of reference levels and benchmark; conduits, pits and drainage; hydraulics; including fire and safety facilities; access roads, fences and gates, including implementation</w:t>
            </w:r>
            <w:r w:rsidRPr="00531FD1">
              <w:t xml:space="preserve"> of EPR control measures, transformer fire and sound attenuation measures, bunding and oil containment, indoor and outdoor structural steelwork</w:t>
            </w:r>
          </w:p>
          <w:p w:rsidR="00000000" w:rsidRPr="00531FD1" w:rsidP="00531FD1">
            <w:pPr>
              <w:pStyle w:val="ListBullet2"/>
            </w:pPr>
            <w:r w:rsidRPr="00531FD1">
              <w:t xml:space="preserve">types of civil and structural parameters - access road suitable for low loaders and cranes (width, </w:t>
            </w:r>
            <w:r w:rsidRPr="00531FD1">
              <w:t>space turning</w:t>
            </w:r>
            <w:r w:rsidRPr="00531FD1">
              <w:t xml:space="preserve"> radius and gradient); outdoor steelwork (stands), including strain/landing tower, surge arrestor, isolator, voltage transformer, current transformer, circuit breaker, fault thrower, lightening masts, cages/screens, sealing ends, cable supports, operating </w:t>
            </w:r>
            <w:r w:rsidRPr="00531FD1">
              <w:t>stands and busbar supports</w:t>
            </w:r>
          </w:p>
          <w:p w:rsidR="00000000" w:rsidRPr="00531FD1" w:rsidP="00531FD1">
            <w:pPr>
              <w:pStyle w:val="ListBullet2"/>
            </w:pPr>
            <w:r w:rsidRPr="00531FD1">
              <w:t>indoor steelwork, including frequency injection, cable supports, cages/screens and cable ladder supports.</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14" w:name="O_1002807"/>
      <w:bookmarkEnd w:id="14"/>
      <w:r w:rsidRPr="00531FD1">
        <w:t>Assessment Conditions</w:t>
      </w:r>
    </w:p>
    <w:tbl>
      <w:tblPr>
        <w:tblW w:w="9497" w:type="dxa"/>
        <w:tblLayout w:type="fixed"/>
        <w:tblCellMar>
          <w:left w:w="62" w:type="dxa"/>
          <w:right w:w="62" w:type="dxa"/>
        </w:tblCellMar>
        <w:tblLook w:val="0000"/>
      </w:tblPr>
      <w:tblGrid>
        <w:gridCol w:w="9497"/>
      </w:tblGrid>
      <w:tr w:rsidTr="00531F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1FD1" w:rsidP="00531FD1">
            <w:pPr>
              <w:pStyle w:val="BodyText"/>
            </w:pPr>
            <w:r w:rsidRPr="00531FD1">
              <w:t>Assessors must hold credentials specified within the Standards for Registered Tr</w:t>
            </w:r>
            <w:r w:rsidRPr="00531FD1">
              <w:t>aining Organisations current at the time of assessment.</w:t>
            </w:r>
          </w:p>
          <w:p w:rsidR="00000000" w:rsidRPr="00531FD1" w:rsidP="00531FD1">
            <w:pPr>
              <w:pStyle w:val="BodyText"/>
            </w:pPr>
            <w:r w:rsidRPr="00531FD1">
              <w:t>Assessment must satisfy the Principles of Assessment and Rules of Evidence and all regulatory requirements included within the Standards for Registered Training Organisations current at the time of as</w:t>
            </w:r>
            <w:r w:rsidRPr="00531FD1">
              <w:t>sessment.</w:t>
            </w:r>
          </w:p>
          <w:p w:rsidR="00000000" w:rsidRPr="00531FD1" w:rsidP="00531FD1">
            <w:pPr>
              <w:pStyle w:val="BodyText"/>
            </w:pPr>
            <w:r w:rsidRPr="00531FD1">
              <w:t>Assessment must occur in workplace operational situations where it is appropriate to do so; where this is not appropriate, assessment must occur in simulated conditions involving realistic and authentic activities that replicate operational workp</w:t>
            </w:r>
            <w:r w:rsidRPr="00531FD1">
              <w:t>lace conditions.</w:t>
            </w:r>
          </w:p>
          <w:p w:rsidR="00000000" w:rsidRPr="00531FD1" w:rsidP="00531FD1">
            <w:pPr>
              <w:pStyle w:val="BodyText"/>
            </w:pPr>
            <w:r w:rsidRPr="00531FD1">
              <w:t>Assessment processes and techniques must be appropriate to the language, literacy and numeracy requirements of the work being performed and the needs of the candidate.</w:t>
            </w:r>
          </w:p>
          <w:p w:rsidR="00000000" w:rsidRPr="00531FD1" w:rsidP="00531FD1">
            <w:pPr>
              <w:pStyle w:val="BodyText"/>
            </w:pPr>
            <w:r w:rsidRPr="00531FD1">
              <w:t>Resources for assessment must include access to:</w:t>
            </w:r>
          </w:p>
          <w:p w:rsidR="00000000" w:rsidRPr="00531FD1" w:rsidP="00531FD1">
            <w:pPr>
              <w:pStyle w:val="ListBullet"/>
            </w:pPr>
            <w:r w:rsidRPr="00531FD1">
              <w:t>a range of relevant e</w:t>
            </w:r>
            <w:r w:rsidRPr="00531FD1">
              <w:t>xercises, case studies and/or other simulations</w:t>
            </w:r>
          </w:p>
          <w:p w:rsidR="00000000" w:rsidRPr="00531FD1" w:rsidP="00531FD1">
            <w:pPr>
              <w:pStyle w:val="ListBullet"/>
            </w:pPr>
            <w:r w:rsidRPr="00531FD1">
              <w:t>relevant and appropriate materials, tools, facilities, equipment and personal protective equi</w:t>
            </w:r>
            <w:r w:rsidRPr="00531FD1">
              <w:t>pment (PPE) currently used in industry to undertake design of transmission, sub-transmission and zone substation civil and structural components</w:t>
            </w:r>
          </w:p>
          <w:p w:rsidR="00000000" w:rsidRPr="00531FD1" w:rsidP="00531FD1">
            <w:pPr>
              <w:pStyle w:val="ListBullet"/>
            </w:pPr>
            <w:r w:rsidRPr="00531FD1">
              <w:t>applicable documentation including workplace procedures, relevant industry standards, equipment specifications,</w:t>
            </w:r>
            <w:r w:rsidRPr="00531FD1">
              <w:t xml:space="preserve"> regulations, codes of practice and operation manuals.</w:t>
            </w:r>
          </w:p>
        </w:tc>
      </w:tr>
    </w:tbl>
    <w:p w:rsidR="00000000" w:rsidRPr="00531FD1" w:rsidP="00531FD1">
      <w:pPr>
        <w:pStyle w:val="NoPaddingFontSize1"/>
      </w:pPr>
    </w:p>
    <w:p w:rsidR="00000000" w:rsidRPr="00531FD1" w:rsidP="00531FD1">
      <w:pPr>
        <w:pStyle w:val="AllowPageBreak"/>
      </w:pPr>
    </w:p>
    <w:p w:rsidR="00000000" w:rsidRPr="00531FD1" w:rsidP="00531FD1">
      <w:pPr>
        <w:pStyle w:val="Heading1"/>
      </w:pPr>
      <w:bookmarkStart w:id="15" w:name="O_1002810"/>
      <w:bookmarkEnd w:id="15"/>
      <w:r w:rsidRPr="00531FD1">
        <w:t>Links</w:t>
      </w:r>
    </w:p>
    <w:p w:rsidR="00000000" w:rsidRPr="00531FD1" w:rsidP="00491714">
      <w:pPr>
        <w:pStyle w:val="BodyText"/>
      </w:pPr>
      <w:r w:rsidRPr="00531FD1">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2578E">
        <w:rPr>
          <w:rStyle w:val="Hyperlink"/>
        </w:rPr>
        <w:t>https://vetnet.gov.au/Pages/TrainingDocs.aspx?q=229bace1-b7bc-4653-9300-dffb13ecfad7</w:t>
      </w:r>
      <w:r>
        <w:fldChar w:fldCharType="end"/>
      </w:r>
    </w:p>
    <w:p w:rsidR="00000000" w:rsidRPr="00531FD1" w:rsidP="00531FD1"/>
    <w:sectPr w:rsidSect="00531F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rsidRPr="00491714" w:rsidP="00491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14" w:rsidP="00531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1714" w:rsidP="00531F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91714" w:rsidP="00531F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rsidP="00531FD1">
    <w:pPr>
      <w:pStyle w:val="Footer"/>
      <w:framePr w:wrap="around"/>
    </w:pPr>
    <w:r>
      <w:fldChar w:fldCharType="begin"/>
    </w:r>
    <w:r>
      <w:instrText xml:space="preserve"> DOCPROPERTY  Subject  \* MERGEFORMAT </w:instrText>
    </w:r>
    <w:r>
      <w:fldChar w:fldCharType="separate"/>
    </w:r>
    <w:r w:rsidR="00491714">
      <w:t>Approved</w:t>
    </w:r>
    <w:r w:rsidR="00491714">
      <w:fldChar w:fldCharType="end"/>
    </w:r>
    <w:r>
      <w:tab/>
      <w:t xml:space="preserve">Page </w:t>
    </w:r>
    <w:r>
      <w:fldChar w:fldCharType="begin"/>
    </w:r>
    <w:r>
      <w:instrText xml:space="preserve"> PAGE  \* Arabic  \* MERGEFORMAT </w:instrText>
    </w:r>
    <w:r>
      <w:fldChar w:fldCharType="separate"/>
    </w:r>
    <w:r w:rsidR="004917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1714">
      <w:rPr>
        <w:noProof/>
      </w:rPr>
      <w:t>5</w:t>
    </w:r>
    <w:r>
      <w:rPr>
        <w:noProof/>
      </w:rPr>
      <w:fldChar w:fldCharType="end"/>
    </w:r>
  </w:p>
  <w:p w:rsidR="00531FD1" w:rsidP="00531FD1">
    <w:pPr>
      <w:pStyle w:val="Footer"/>
      <w:framePr w:wrap="around"/>
    </w:pPr>
    <w:r>
      <w:t xml:space="preserve">© Commonwealth of Australia, </w:t>
    </w:r>
    <w:r>
      <w:fldChar w:fldCharType="begin"/>
    </w:r>
    <w:r>
      <w:instrText xml:space="preserve"> DATE  \@ "yyyy"  \* MERGEFORMAT </w:instrText>
    </w:r>
    <w:r>
      <w:fldChar w:fldCharType="separate"/>
    </w:r>
    <w:r w:rsidR="00491714">
      <w:rPr>
        <w:noProof/>
      </w:rPr>
      <w:t>2025</w:t>
    </w:r>
    <w:r>
      <w:fldChar w:fldCharType="end"/>
    </w:r>
    <w:r>
      <w:tab/>
    </w:r>
    <w:r>
      <w:fldChar w:fldCharType="begin"/>
    </w:r>
    <w:r>
      <w:instrText xml:space="preserve"> DOCPROPERTY  Author  \* MERGEFORMAT </w:instrText>
    </w:r>
    <w:r>
      <w:fldChar w:fldCharType="separate"/>
    </w:r>
    <w:r w:rsidR="00491714">
      <w:t>Powering Skills Organisation</w:t>
    </w:r>
    <w:r w:rsidR="00491714">
      <w:fldChar w:fldCharType="end"/>
    </w:r>
  </w:p>
  <w:p w:rsidR="00531FD1" w:rsidP="00531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FD1" w:rsidRPr="00491714" w:rsidP="004917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714" w:rsidRPr="002D2AF8" w:rsidP="00531FD1">
    <w:pPr>
      <w:pStyle w:val="Header"/>
      <w:framePr w:wrap="around"/>
    </w:pPr>
    <w:r>
      <w:fldChar w:fldCharType="begin"/>
    </w:r>
    <w:r>
      <w:instrText xml:space="preserve"> TITLE   \* MERGEFORMAT </w:instrText>
    </w:r>
    <w:r>
      <w:fldChar w:fldCharType="separate"/>
    </w:r>
    <w:r>
      <w:t>UETTDRDS56 Design power system transmission, sub-transmission &amp; zone substation civil &amp;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1714" w:rsidP="00531F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FD1" w:rsidRPr="002D2AF8" w:rsidP="00531FD1">
    <w:pPr>
      <w:pStyle w:val="Header"/>
      <w:framePr w:wrap="around"/>
    </w:pPr>
    <w:r>
      <w:fldChar w:fldCharType="begin"/>
    </w:r>
    <w:r>
      <w:instrText xml:space="preserve"> TITLE   \* MERGEFORMAT </w:instrText>
    </w:r>
    <w:r>
      <w:fldChar w:fldCharType="separate"/>
    </w:r>
    <w:r w:rsidR="00491714">
      <w:t>UETTDRDS56 Design power system transmission, sub-transmission &amp; zone substation civil &amp; structural components</w:t>
    </w:r>
    <w:r w:rsidR="00491714">
      <w:fldChar w:fldCharType="end"/>
    </w:r>
    <w:r>
      <w:tab/>
      <w:t xml:space="preserve">Date this document was generated: </w:t>
    </w:r>
    <w:r>
      <w:fldChar w:fldCharType="begin"/>
    </w:r>
    <w:r>
      <w:instrText xml:space="preserve"> CREATEDATE  \@ "d MMMM yyyy"  \* MERGEFORMAT </w:instrText>
    </w:r>
    <w:r>
      <w:fldChar w:fldCharType="separate"/>
    </w:r>
    <w:r w:rsidR="00491714">
      <w:rPr>
        <w:noProof/>
      </w:rPr>
      <w:t>2 March 2025</w:t>
    </w:r>
    <w:r>
      <w:fldChar w:fldCharType="end"/>
    </w:r>
  </w:p>
  <w:p w:rsidR="00531FD1" w:rsidP="00531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0D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86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A8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FD1"/>
    <w:pPr>
      <w:spacing w:before="360" w:after="60"/>
      <w:outlineLvl w:val="0"/>
    </w:pPr>
    <w:rPr>
      <w:sz w:val="32"/>
    </w:rPr>
  </w:style>
  <w:style w:type="paragraph" w:styleId="Heading2">
    <w:name w:val="heading 2"/>
    <w:basedOn w:val="HeadingBase"/>
    <w:next w:val="BodyText"/>
    <w:link w:val="Heading2Char"/>
    <w:qFormat/>
    <w:rsid w:val="00531FD1"/>
    <w:pPr>
      <w:keepLines/>
      <w:spacing w:before="240" w:after="120"/>
      <w:outlineLvl w:val="1"/>
    </w:pPr>
    <w:rPr>
      <w:sz w:val="28"/>
      <w:szCs w:val="40"/>
    </w:rPr>
  </w:style>
  <w:style w:type="paragraph" w:styleId="Heading3">
    <w:name w:val="heading 3"/>
    <w:basedOn w:val="HeadingBase"/>
    <w:next w:val="BodyText"/>
    <w:link w:val="Heading3Char"/>
    <w:qFormat/>
    <w:rsid w:val="00531FD1"/>
    <w:pPr>
      <w:spacing w:before="180" w:after="120"/>
      <w:outlineLvl w:val="2"/>
    </w:pPr>
    <w:rPr>
      <w:spacing w:val="-10"/>
      <w:kern w:val="32"/>
    </w:rPr>
  </w:style>
  <w:style w:type="paragraph" w:styleId="Heading4">
    <w:name w:val="heading 4"/>
    <w:basedOn w:val="HeadingBase"/>
    <w:next w:val="BodyText"/>
    <w:link w:val="Heading4Char"/>
    <w:qFormat/>
    <w:rsid w:val="00531FD1"/>
    <w:pPr>
      <w:spacing w:before="160" w:after="120"/>
      <w:outlineLvl w:val="3"/>
    </w:pPr>
    <w:rPr>
      <w:sz w:val="22"/>
    </w:rPr>
  </w:style>
  <w:style w:type="paragraph" w:styleId="Heading5">
    <w:name w:val="heading 5"/>
    <w:basedOn w:val="HeadingBase"/>
    <w:next w:val="Normal"/>
    <w:link w:val="Heading5Char"/>
    <w:qFormat/>
    <w:rsid w:val="00531FD1"/>
    <w:pPr>
      <w:spacing w:before="80"/>
      <w:outlineLvl w:val="4"/>
    </w:pPr>
    <w:rPr>
      <w:color w:val="918585"/>
      <w:sz w:val="20"/>
    </w:rPr>
  </w:style>
  <w:style w:type="paragraph" w:styleId="Heading6">
    <w:name w:val="heading 6"/>
    <w:basedOn w:val="HeadingBase"/>
    <w:next w:val="Normal"/>
    <w:link w:val="Heading6Char"/>
    <w:qFormat/>
    <w:rsid w:val="00531FD1"/>
    <w:pPr>
      <w:spacing w:before="60"/>
      <w:outlineLvl w:val="5"/>
    </w:pPr>
    <w:rPr>
      <w:color w:val="918585"/>
      <w:sz w:val="20"/>
    </w:rPr>
  </w:style>
  <w:style w:type="paragraph" w:styleId="Heading7">
    <w:name w:val="heading 7"/>
    <w:basedOn w:val="Normal"/>
    <w:next w:val="Normal"/>
    <w:link w:val="Heading7Char"/>
    <w:qFormat/>
    <w:rsid w:val="00531FD1"/>
    <w:pPr>
      <w:ind w:left="720"/>
      <w:outlineLvl w:val="6"/>
    </w:pPr>
    <w:rPr>
      <w:i/>
    </w:rPr>
  </w:style>
  <w:style w:type="paragraph" w:styleId="Heading8">
    <w:name w:val="heading 8"/>
    <w:basedOn w:val="Normal"/>
    <w:next w:val="Normal"/>
    <w:link w:val="Heading8Char"/>
    <w:qFormat/>
    <w:rsid w:val="00531FD1"/>
    <w:pPr>
      <w:ind w:left="720"/>
      <w:outlineLvl w:val="7"/>
    </w:pPr>
    <w:rPr>
      <w:i/>
    </w:rPr>
  </w:style>
  <w:style w:type="paragraph" w:styleId="Heading9">
    <w:name w:val="heading 9"/>
    <w:basedOn w:val="Normal"/>
    <w:next w:val="Normal"/>
    <w:link w:val="Heading9Char"/>
    <w:qFormat/>
    <w:rsid w:val="00531FD1"/>
    <w:pPr>
      <w:ind w:left="720"/>
      <w:outlineLvl w:val="8"/>
    </w:pPr>
    <w:rPr>
      <w:i/>
    </w:rPr>
  </w:style>
  <w:style w:type="character" w:default="1" w:styleId="DefaultParagraphFont">
    <w:name w:val="Default Paragraph Font"/>
    <w:uiPriority w:val="1"/>
    <w:unhideWhenUsed/>
    <w:rsid w:val="00531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FD1"/>
  </w:style>
  <w:style w:type="character" w:customStyle="1" w:styleId="Heading1Char">
    <w:name w:val="Heading 1 Char"/>
    <w:basedOn w:val="DefaultParagraphFont"/>
    <w:link w:val="Heading1"/>
    <w:rsid w:val="00531FD1"/>
    <w:rPr>
      <w:rFonts w:ascii="Times New Roman" w:eastAsia="Times New Roman" w:hAnsi="Times New Roman" w:cs="Times New Roman"/>
      <w:b/>
      <w:sz w:val="32"/>
      <w:szCs w:val="20"/>
      <w:lang w:eastAsia="en-US"/>
    </w:rPr>
  </w:style>
  <w:style w:type="paragraph" w:styleId="BodyText">
    <w:name w:val="Body Text"/>
    <w:basedOn w:val="Normal"/>
    <w:link w:val="BodyTextChar"/>
    <w:rsid w:val="00531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FD1"/>
    <w:rPr>
      <w:rFonts w:ascii="Times New Roman" w:eastAsia="Times New Roman" w:hAnsi="Times New Roman" w:cs="Times New Roman"/>
      <w:sz w:val="24"/>
      <w:lang w:eastAsia="en-US"/>
    </w:rPr>
  </w:style>
  <w:style w:type="paragraph" w:styleId="ListBullet">
    <w:name w:val="List Bullet"/>
    <w:basedOn w:val="List"/>
    <w:rsid w:val="00531FD1"/>
    <w:pPr>
      <w:numPr>
        <w:numId w:val="12"/>
      </w:numPr>
      <w:tabs>
        <w:tab w:val="clear" w:pos="340"/>
      </w:tabs>
      <w:spacing w:before="40" w:after="40"/>
    </w:pPr>
  </w:style>
  <w:style w:type="character" w:customStyle="1" w:styleId="SpecialBold">
    <w:name w:val="Special Bold"/>
    <w:basedOn w:val="DefaultParagraphFont"/>
    <w:rsid w:val="00531FD1"/>
    <w:rPr>
      <w:b/>
      <w:spacing w:val="0"/>
    </w:rPr>
  </w:style>
  <w:style w:type="paragraph" w:styleId="ListBullet2">
    <w:name w:val="List Bullet 2"/>
    <w:basedOn w:val="List2"/>
    <w:rsid w:val="00531FD1"/>
    <w:pPr>
      <w:numPr>
        <w:numId w:val="13"/>
      </w:numPr>
      <w:tabs>
        <w:tab w:val="clear" w:pos="680"/>
      </w:tabs>
    </w:pPr>
  </w:style>
  <w:style w:type="paragraph" w:customStyle="1" w:styleId="SuperHeading">
    <w:name w:val="SuperHeading"/>
    <w:basedOn w:val="Normal"/>
    <w:rsid w:val="00531FD1"/>
    <w:pPr>
      <w:spacing w:before="240" w:after="120"/>
      <w:outlineLvl w:val="0"/>
    </w:pPr>
    <w:rPr>
      <w:rFonts w:ascii="Times New Roman" w:hAnsi="Times New Roman"/>
      <w:b/>
      <w:sz w:val="32"/>
    </w:rPr>
  </w:style>
  <w:style w:type="paragraph" w:customStyle="1" w:styleId="AllowPageBreak">
    <w:name w:val="AllowPageBreak"/>
    <w:rsid w:val="00531F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1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FD1"/>
    <w:rPr>
      <w:rFonts w:ascii="Courier New" w:eastAsia="Times New Roman" w:hAnsi="Courier New" w:cs="Times New Roman"/>
      <w:i/>
      <w:szCs w:val="20"/>
      <w:lang w:eastAsia="en-US"/>
    </w:rPr>
  </w:style>
  <w:style w:type="paragraph" w:customStyle="1" w:styleId="HeadingBase">
    <w:name w:val="Heading Base"/>
    <w:rsid w:val="00531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FD1"/>
    <w:pPr>
      <w:tabs>
        <w:tab w:val="right" w:leader="dot" w:pos="9072"/>
      </w:tabs>
      <w:ind w:left="567"/>
    </w:pPr>
    <w:rPr>
      <w:szCs w:val="22"/>
    </w:rPr>
  </w:style>
  <w:style w:type="paragraph" w:customStyle="1" w:styleId="TOCBase">
    <w:name w:val="TOC Base"/>
    <w:rsid w:val="00531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FD1"/>
    <w:pPr>
      <w:tabs>
        <w:tab w:val="right" w:leader="dot" w:pos="9072"/>
      </w:tabs>
      <w:spacing w:before="40" w:after="40"/>
      <w:ind w:left="284"/>
    </w:pPr>
    <w:rPr>
      <w:rFonts w:ascii="Times New Roman" w:hAnsi="Times New Roman"/>
    </w:rPr>
  </w:style>
  <w:style w:type="paragraph" w:styleId="TOC1">
    <w:name w:val="toc 1"/>
    <w:basedOn w:val="TOCBase"/>
    <w:next w:val="Normal"/>
    <w:rsid w:val="00531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FD1"/>
    <w:rPr>
      <w:rFonts w:ascii="Times New Roman" w:eastAsia="Times New Roman" w:hAnsi="Times New Roman" w:cs="Times New Roman"/>
      <w:sz w:val="16"/>
      <w:lang w:eastAsia="en-US"/>
    </w:rPr>
  </w:style>
  <w:style w:type="paragraph" w:styleId="Title">
    <w:name w:val="Title"/>
    <w:basedOn w:val="HeadingBase"/>
    <w:link w:val="TitleChar"/>
    <w:qFormat/>
    <w:rsid w:val="00531FD1"/>
    <w:pPr>
      <w:spacing w:before="5040"/>
      <w:jc w:val="center"/>
    </w:pPr>
    <w:rPr>
      <w:sz w:val="48"/>
      <w:szCs w:val="72"/>
      <w:lang w:val="en-US"/>
    </w:rPr>
  </w:style>
  <w:style w:type="character" w:customStyle="1" w:styleId="TitleChar">
    <w:name w:val="Title Char"/>
    <w:basedOn w:val="DefaultParagraphFont"/>
    <w:link w:val="Title"/>
    <w:rsid w:val="00531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FD1"/>
    <w:pPr>
      <w:tabs>
        <w:tab w:val="left" w:pos="3600"/>
        <w:tab w:val="left" w:pos="3958"/>
      </w:tabs>
    </w:pPr>
  </w:style>
  <w:style w:type="paragraph" w:styleId="List">
    <w:name w:val="List"/>
    <w:basedOn w:val="BodyText"/>
    <w:next w:val="BodyText"/>
    <w:rsid w:val="00531FD1"/>
    <w:pPr>
      <w:tabs>
        <w:tab w:val="left" w:pos="340"/>
      </w:tabs>
      <w:spacing w:before="60" w:after="60"/>
      <w:ind w:left="340" w:hanging="340"/>
    </w:pPr>
  </w:style>
  <w:style w:type="paragraph" w:customStyle="1" w:styleId="Note">
    <w:name w:val="Note"/>
    <w:basedOn w:val="BodyText"/>
    <w:rsid w:val="00531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FD1"/>
    <w:pPr>
      <w:framePr w:wrap="auto" w:hAnchor="text" w:y="6049"/>
    </w:pPr>
    <w:rPr>
      <w:color w:val="000000"/>
      <w:sz w:val="40"/>
    </w:rPr>
  </w:style>
  <w:style w:type="paragraph" w:customStyle="1" w:styleId="TOCTitle">
    <w:name w:val="TOCTitle"/>
    <w:basedOn w:val="Heading1"/>
    <w:rsid w:val="00531FD1"/>
    <w:pPr>
      <w:spacing w:after="240"/>
      <w:jc w:val="center"/>
      <w:outlineLvl w:val="9"/>
    </w:pPr>
    <w:rPr>
      <w:caps/>
    </w:rPr>
  </w:style>
  <w:style w:type="paragraph" w:customStyle="1" w:styleId="Version">
    <w:name w:val="Version"/>
    <w:rsid w:val="00531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FD1"/>
    <w:pPr>
      <w:keepNext w:val="0"/>
      <w:tabs>
        <w:tab w:val="right" w:pos="4176"/>
      </w:tabs>
      <w:ind w:left="198" w:hanging="198"/>
    </w:pPr>
    <w:rPr>
      <w:rFonts w:ascii="Garamond" w:hAnsi="Garamond"/>
    </w:rPr>
  </w:style>
  <w:style w:type="paragraph" w:styleId="IndexHeading">
    <w:name w:val="index heading"/>
    <w:basedOn w:val="Normal"/>
    <w:next w:val="Index1"/>
    <w:semiHidden/>
    <w:rsid w:val="00531FD1"/>
    <w:pPr>
      <w:spacing w:before="120" w:after="120"/>
    </w:pPr>
    <w:rPr>
      <w:rFonts w:ascii="Arial" w:hAnsi="Arial"/>
      <w:b/>
      <w:color w:val="918585"/>
      <w:sz w:val="24"/>
    </w:rPr>
  </w:style>
  <w:style w:type="paragraph" w:styleId="Header">
    <w:name w:val="header"/>
    <w:basedOn w:val="Normal"/>
    <w:link w:val="HeaderChar"/>
    <w:rsid w:val="00531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FD1"/>
    <w:rPr>
      <w:rFonts w:ascii="Times New Roman" w:eastAsia="Times New Roman" w:hAnsi="Times New Roman" w:cs="Times New Roman"/>
      <w:sz w:val="16"/>
      <w:szCs w:val="20"/>
      <w:lang w:val="en-GB" w:eastAsia="en-US"/>
    </w:rPr>
  </w:style>
  <w:style w:type="paragraph" w:customStyle="1" w:styleId="Chapter">
    <w:name w:val="Chapter"/>
    <w:basedOn w:val="Normal"/>
    <w:rsid w:val="00531FD1"/>
    <w:pPr>
      <w:spacing w:before="240"/>
    </w:pPr>
    <w:rPr>
      <w:rFonts w:ascii="Times New Roman" w:hAnsi="Times New Roman"/>
      <w:smallCaps/>
      <w:spacing w:val="80"/>
      <w:sz w:val="28"/>
    </w:rPr>
  </w:style>
  <w:style w:type="paragraph" w:customStyle="1" w:styleId="InChapter">
    <w:name w:val="InChapter"/>
    <w:basedOn w:val="Heading3"/>
    <w:rsid w:val="00531FD1"/>
    <w:pPr>
      <w:spacing w:after="240"/>
      <w:outlineLvl w:val="9"/>
    </w:pPr>
    <w:rPr>
      <w:noProof/>
    </w:rPr>
  </w:style>
  <w:style w:type="paragraph" w:styleId="Index2">
    <w:name w:val="index 2"/>
    <w:basedOn w:val="Normal"/>
    <w:next w:val="Normal"/>
    <w:semiHidden/>
    <w:rsid w:val="00531FD1"/>
    <w:pPr>
      <w:tabs>
        <w:tab w:val="right" w:pos="4176"/>
      </w:tabs>
      <w:ind w:left="568" w:hanging="284"/>
    </w:pPr>
    <w:rPr>
      <w:rFonts w:ascii="Garamond" w:hAnsi="Garamond"/>
    </w:rPr>
  </w:style>
  <w:style w:type="paragraph" w:customStyle="1" w:styleId="Byline">
    <w:name w:val="Byline"/>
    <w:rsid w:val="00531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FD1"/>
    <w:pPr>
      <w:tabs>
        <w:tab w:val="clear" w:pos="3600"/>
        <w:tab w:val="clear" w:pos="3958"/>
      </w:tabs>
      <w:jc w:val="right"/>
    </w:pPr>
  </w:style>
  <w:style w:type="character" w:styleId="Emphasis">
    <w:name w:val="Emphasis"/>
    <w:basedOn w:val="DefaultParagraphFont"/>
    <w:qFormat/>
    <w:rsid w:val="00531FD1"/>
    <w:rPr>
      <w:i/>
    </w:rPr>
  </w:style>
  <w:style w:type="paragraph" w:styleId="Caption">
    <w:name w:val="caption"/>
    <w:basedOn w:val="BodyText"/>
    <w:next w:val="Normal"/>
    <w:qFormat/>
    <w:rsid w:val="00531FD1"/>
    <w:pPr>
      <w:framePr w:w="2268" w:hSpace="181" w:vSpace="181" w:wrap="around" w:vAnchor="text" w:hAnchor="page" w:x="1135" w:y="285" w:anchorLock="1"/>
    </w:pPr>
    <w:rPr>
      <w:i/>
    </w:rPr>
  </w:style>
  <w:style w:type="paragraph" w:customStyle="1" w:styleId="MiniTOCTitle">
    <w:name w:val="MiniTOCTitle"/>
    <w:basedOn w:val="Heading4"/>
    <w:rsid w:val="00531FD1"/>
    <w:pPr>
      <w:spacing w:before="240"/>
      <w:outlineLvl w:val="9"/>
    </w:pPr>
    <w:rPr>
      <w:noProof/>
      <w:sz w:val="24"/>
    </w:rPr>
  </w:style>
  <w:style w:type="paragraph" w:customStyle="1" w:styleId="MiniTOCItem">
    <w:name w:val="MiniTOCItem"/>
    <w:basedOn w:val="ListBullet"/>
    <w:rsid w:val="00531FD1"/>
    <w:pPr>
      <w:numPr>
        <w:numId w:val="0"/>
      </w:numPr>
      <w:tabs>
        <w:tab w:val="right" w:leader="dot" w:pos="6521"/>
      </w:tabs>
      <w:spacing w:before="0" w:after="0"/>
    </w:pPr>
  </w:style>
  <w:style w:type="paragraph" w:customStyle="1" w:styleId="TOFTitle">
    <w:name w:val="TOFTitle"/>
    <w:basedOn w:val="TOCTitle"/>
    <w:rsid w:val="00531FD1"/>
  </w:style>
  <w:style w:type="paragraph" w:styleId="TableofFigures">
    <w:name w:val="table of figures"/>
    <w:basedOn w:val="Normal"/>
    <w:next w:val="Normal"/>
    <w:semiHidden/>
    <w:rsid w:val="00531FD1"/>
    <w:pPr>
      <w:tabs>
        <w:tab w:val="right" w:leader="dot" w:pos="9072"/>
      </w:tabs>
      <w:ind w:left="970" w:hanging="403"/>
    </w:pPr>
    <w:rPr>
      <w:rFonts w:ascii="Times New Roman" w:hAnsi="Times New Roman"/>
      <w:b/>
    </w:rPr>
  </w:style>
  <w:style w:type="paragraph" w:styleId="ListNumber">
    <w:name w:val="List Number"/>
    <w:basedOn w:val="List"/>
    <w:rsid w:val="00531FD1"/>
    <w:pPr>
      <w:numPr>
        <w:numId w:val="15"/>
      </w:numPr>
      <w:tabs>
        <w:tab w:val="clear" w:pos="340"/>
      </w:tabs>
    </w:pPr>
  </w:style>
  <w:style w:type="character" w:customStyle="1" w:styleId="WingdingSymbols">
    <w:name w:val="Wingding Symbols"/>
    <w:rsid w:val="00531FD1"/>
    <w:rPr>
      <w:rFonts w:ascii="Wingdings" w:hAnsi="Wingdings"/>
    </w:rPr>
  </w:style>
  <w:style w:type="paragraph" w:customStyle="1" w:styleId="TableHeading">
    <w:name w:val="Table Heading"/>
    <w:basedOn w:val="HeadingBase"/>
    <w:rsid w:val="00531FD1"/>
    <w:pPr>
      <w:keepLines/>
      <w:pBdr>
        <w:bottom w:val="single" w:sz="6" w:space="1" w:color="918585"/>
      </w:pBdr>
      <w:spacing w:before="240"/>
    </w:pPr>
  </w:style>
  <w:style w:type="character" w:customStyle="1" w:styleId="HotSpot">
    <w:name w:val="HotSpot"/>
    <w:rsid w:val="00531FD1"/>
    <w:rPr>
      <w:color w:val="0033CC"/>
      <w:u w:val="none"/>
    </w:rPr>
  </w:style>
  <w:style w:type="paragraph" w:customStyle="1" w:styleId="BodyTextRight">
    <w:name w:val="Body Text Right"/>
    <w:basedOn w:val="BodyText"/>
    <w:rsid w:val="00531FD1"/>
    <w:pPr>
      <w:spacing w:before="0" w:after="0"/>
      <w:jc w:val="right"/>
    </w:pPr>
  </w:style>
  <w:style w:type="paragraph" w:styleId="Index3">
    <w:name w:val="index 3"/>
    <w:basedOn w:val="ListNumber2"/>
    <w:next w:val="Normal"/>
    <w:semiHidden/>
    <w:rsid w:val="00531FD1"/>
    <w:pPr>
      <w:numPr>
        <w:numId w:val="0"/>
      </w:numPr>
      <w:tabs>
        <w:tab w:val="right" w:leader="dot" w:pos="4176"/>
      </w:tabs>
    </w:pPr>
  </w:style>
  <w:style w:type="paragraph" w:styleId="ListNumber2">
    <w:name w:val="List Number 2"/>
    <w:basedOn w:val="List2"/>
    <w:rsid w:val="00531FD1"/>
    <w:pPr>
      <w:numPr>
        <w:numId w:val="10"/>
      </w:numPr>
      <w:tabs>
        <w:tab w:val="clear" w:pos="1060"/>
      </w:tabs>
    </w:pPr>
  </w:style>
  <w:style w:type="paragraph" w:customStyle="1" w:styleId="MarginNote">
    <w:name w:val="Margin Note"/>
    <w:basedOn w:val="BodyText"/>
    <w:rsid w:val="00531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FD1"/>
    <w:rPr>
      <w:sz w:val="32"/>
    </w:rPr>
  </w:style>
  <w:style w:type="paragraph" w:customStyle="1" w:styleId="HeadingProcedure">
    <w:name w:val="Heading Procedure"/>
    <w:basedOn w:val="HeadingBase"/>
    <w:next w:val="Normal"/>
    <w:rsid w:val="00531FD1"/>
    <w:pPr>
      <w:tabs>
        <w:tab w:val="left" w:pos="0"/>
      </w:tabs>
      <w:spacing w:before="120" w:after="60"/>
    </w:pPr>
    <w:rPr>
      <w:i/>
      <w:color w:val="918585"/>
      <w:sz w:val="22"/>
    </w:rPr>
  </w:style>
  <w:style w:type="paragraph" w:customStyle="1" w:styleId="TableBodyText">
    <w:name w:val="Table Body Text"/>
    <w:basedOn w:val="BodyText"/>
    <w:rsid w:val="00531FD1"/>
    <w:pPr>
      <w:spacing w:before="60" w:after="60"/>
    </w:pPr>
  </w:style>
  <w:style w:type="paragraph" w:styleId="ListContinue">
    <w:name w:val="List Continue"/>
    <w:basedOn w:val="List"/>
    <w:rsid w:val="00531FD1"/>
    <w:pPr>
      <w:ind w:firstLine="0"/>
    </w:pPr>
  </w:style>
  <w:style w:type="paragraph" w:customStyle="1" w:styleId="ListNote">
    <w:name w:val="List Note"/>
    <w:basedOn w:val="List"/>
    <w:rsid w:val="00531FD1"/>
    <w:pPr>
      <w:pBdr>
        <w:top w:val="single" w:sz="6" w:space="2" w:color="918585"/>
        <w:bottom w:val="single" w:sz="6" w:space="2" w:color="918585"/>
      </w:pBdr>
      <w:tabs>
        <w:tab w:val="left" w:pos="1021"/>
      </w:tabs>
      <w:ind w:firstLine="0"/>
    </w:pPr>
  </w:style>
  <w:style w:type="paragraph" w:customStyle="1" w:styleId="Warning">
    <w:name w:val="Warning"/>
    <w:basedOn w:val="BodyText"/>
    <w:rsid w:val="00531FD1"/>
    <w:pPr>
      <w:shd w:val="clear" w:color="auto" w:fill="D9D9D9"/>
      <w:tabs>
        <w:tab w:val="left" w:pos="992"/>
      </w:tabs>
      <w:ind w:left="119" w:right="119"/>
    </w:pPr>
    <w:rPr>
      <w:sz w:val="20"/>
    </w:rPr>
  </w:style>
  <w:style w:type="paragraph" w:customStyle="1" w:styleId="MarginIcons">
    <w:name w:val="Margin Icons"/>
    <w:basedOn w:val="BodyText"/>
    <w:rsid w:val="00531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FD1"/>
    <w:rPr>
      <w:rFonts w:ascii="Courier New" w:hAnsi="Courier New"/>
    </w:rPr>
  </w:style>
  <w:style w:type="paragraph" w:customStyle="1" w:styleId="NoteBullet">
    <w:name w:val="Note Bullet"/>
    <w:basedOn w:val="Note"/>
    <w:rsid w:val="00531FD1"/>
    <w:pPr>
      <w:tabs>
        <w:tab w:val="clear" w:pos="680"/>
      </w:tabs>
      <w:spacing w:before="60" w:after="60"/>
    </w:pPr>
  </w:style>
  <w:style w:type="paragraph" w:customStyle="1" w:styleId="SubHeading2">
    <w:name w:val="SubHeading2"/>
    <w:basedOn w:val="HeadingBase"/>
    <w:rsid w:val="00531FD1"/>
    <w:pPr>
      <w:spacing w:before="240" w:after="60"/>
    </w:pPr>
    <w:rPr>
      <w:sz w:val="20"/>
    </w:rPr>
  </w:style>
  <w:style w:type="paragraph" w:customStyle="1" w:styleId="SubHeading1">
    <w:name w:val="SubHeading1"/>
    <w:basedOn w:val="HeadingBase"/>
    <w:rsid w:val="00531FD1"/>
    <w:pPr>
      <w:spacing w:before="240" w:after="60"/>
    </w:pPr>
    <w:rPr>
      <w:color w:val="918585"/>
      <w:sz w:val="22"/>
    </w:rPr>
  </w:style>
  <w:style w:type="paragraph" w:customStyle="1" w:styleId="SideHeading">
    <w:name w:val="Side Heading"/>
    <w:basedOn w:val="HeadingBase"/>
    <w:rsid w:val="00531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FD1"/>
    <w:pPr>
      <w:tabs>
        <w:tab w:val="num" w:pos="360"/>
      </w:tabs>
    </w:pPr>
  </w:style>
  <w:style w:type="paragraph" w:styleId="PlainText">
    <w:name w:val="Plain Text"/>
    <w:basedOn w:val="Normal"/>
    <w:link w:val="PlainTextChar"/>
    <w:rsid w:val="00531FD1"/>
    <w:rPr>
      <w:sz w:val="20"/>
    </w:rPr>
  </w:style>
  <w:style w:type="character" w:customStyle="1" w:styleId="PlainTextChar">
    <w:name w:val="Plain Text Char"/>
    <w:basedOn w:val="DefaultParagraphFont"/>
    <w:link w:val="PlainText"/>
    <w:rsid w:val="00531FD1"/>
    <w:rPr>
      <w:rFonts w:ascii="Courier New" w:eastAsia="Times New Roman" w:hAnsi="Courier New" w:cs="Times New Roman"/>
      <w:sz w:val="20"/>
      <w:szCs w:val="20"/>
      <w:lang w:eastAsia="en-US"/>
    </w:rPr>
  </w:style>
  <w:style w:type="character" w:customStyle="1" w:styleId="MenuOption">
    <w:name w:val="Menu Option"/>
    <w:basedOn w:val="DefaultParagraphFont"/>
    <w:rsid w:val="00531FD1"/>
    <w:rPr>
      <w:b/>
      <w:smallCaps/>
    </w:rPr>
  </w:style>
  <w:style w:type="paragraph" w:customStyle="1" w:styleId="TableListNumber">
    <w:name w:val="Table List Number"/>
    <w:basedOn w:val="ListNumber"/>
    <w:rsid w:val="00531FD1"/>
    <w:pPr>
      <w:numPr>
        <w:numId w:val="0"/>
      </w:numPr>
    </w:pPr>
  </w:style>
  <w:style w:type="paragraph" w:styleId="TOC4">
    <w:name w:val="toc 4"/>
    <w:basedOn w:val="TOCBase"/>
    <w:next w:val="Normal"/>
    <w:semiHidden/>
    <w:rsid w:val="00531FD1"/>
    <w:pPr>
      <w:tabs>
        <w:tab w:val="right" w:leader="dot" w:pos="9071"/>
      </w:tabs>
      <w:ind w:left="1701"/>
    </w:pPr>
  </w:style>
  <w:style w:type="paragraph" w:customStyle="1" w:styleId="ListAlpha">
    <w:name w:val="List Alpha"/>
    <w:basedOn w:val="List"/>
    <w:rsid w:val="00531FD1"/>
    <w:pPr>
      <w:numPr>
        <w:numId w:val="9"/>
      </w:numPr>
    </w:pPr>
  </w:style>
  <w:style w:type="paragraph" w:customStyle="1" w:styleId="ListAlpha2">
    <w:name w:val="List Alpha 2"/>
    <w:basedOn w:val="List2"/>
    <w:rsid w:val="00531FD1"/>
    <w:pPr>
      <w:numPr>
        <w:numId w:val="8"/>
      </w:numPr>
    </w:pPr>
  </w:style>
  <w:style w:type="paragraph" w:styleId="List2">
    <w:name w:val="List 2"/>
    <w:basedOn w:val="BodyText"/>
    <w:rsid w:val="00531FD1"/>
    <w:pPr>
      <w:tabs>
        <w:tab w:val="left" w:pos="680"/>
      </w:tabs>
      <w:spacing w:before="60" w:after="60"/>
      <w:ind w:left="680" w:hanging="340"/>
    </w:pPr>
  </w:style>
  <w:style w:type="paragraph" w:styleId="List3">
    <w:name w:val="List 3"/>
    <w:basedOn w:val="BodyText"/>
    <w:rsid w:val="00531FD1"/>
    <w:pPr>
      <w:tabs>
        <w:tab w:val="left" w:pos="1021"/>
      </w:tabs>
      <w:spacing w:before="60" w:after="60"/>
      <w:ind w:left="1020" w:hanging="340"/>
    </w:pPr>
  </w:style>
  <w:style w:type="paragraph" w:styleId="List4">
    <w:name w:val="List 4"/>
    <w:basedOn w:val="BodyText"/>
    <w:rsid w:val="00531FD1"/>
    <w:pPr>
      <w:tabs>
        <w:tab w:val="left" w:pos="1361"/>
      </w:tabs>
      <w:spacing w:before="60" w:after="60"/>
      <w:ind w:left="1361" w:hanging="340"/>
    </w:pPr>
  </w:style>
  <w:style w:type="paragraph" w:styleId="List5">
    <w:name w:val="List 5"/>
    <w:basedOn w:val="BodyText"/>
    <w:rsid w:val="00531FD1"/>
    <w:pPr>
      <w:tabs>
        <w:tab w:val="left" w:pos="1701"/>
      </w:tabs>
      <w:spacing w:before="60" w:after="60"/>
      <w:ind w:left="1701" w:hanging="340"/>
    </w:pPr>
  </w:style>
  <w:style w:type="paragraph" w:styleId="ListBullet3">
    <w:name w:val="List Bullet 3"/>
    <w:basedOn w:val="List3"/>
    <w:rsid w:val="00531FD1"/>
    <w:pPr>
      <w:numPr>
        <w:numId w:val="14"/>
      </w:numPr>
      <w:tabs>
        <w:tab w:val="clear" w:pos="1021"/>
      </w:tabs>
      <w:ind w:left="1037" w:hanging="357"/>
    </w:pPr>
  </w:style>
  <w:style w:type="paragraph" w:styleId="ListBullet4">
    <w:name w:val="List Bullet 4"/>
    <w:basedOn w:val="List4"/>
    <w:rsid w:val="00531FD1"/>
    <w:pPr>
      <w:numPr>
        <w:numId w:val="3"/>
      </w:numPr>
      <w:tabs>
        <w:tab w:val="clear" w:pos="1361"/>
      </w:tabs>
    </w:pPr>
  </w:style>
  <w:style w:type="paragraph" w:styleId="ListBullet5">
    <w:name w:val="List Bullet 5"/>
    <w:basedOn w:val="List5"/>
    <w:rsid w:val="00531FD1"/>
    <w:pPr>
      <w:numPr>
        <w:numId w:val="4"/>
      </w:numPr>
    </w:pPr>
  </w:style>
  <w:style w:type="paragraph" w:styleId="ListContinue2">
    <w:name w:val="List Continue 2"/>
    <w:basedOn w:val="List2"/>
    <w:rsid w:val="00531FD1"/>
    <w:pPr>
      <w:ind w:firstLine="0"/>
    </w:pPr>
  </w:style>
  <w:style w:type="paragraph" w:styleId="ListContinue3">
    <w:name w:val="List Continue 3"/>
    <w:basedOn w:val="List3"/>
    <w:rsid w:val="00531FD1"/>
    <w:pPr>
      <w:ind w:left="1021" w:firstLine="0"/>
    </w:pPr>
  </w:style>
  <w:style w:type="paragraph" w:styleId="ListContinue4">
    <w:name w:val="List Continue 4"/>
    <w:basedOn w:val="List4"/>
    <w:rsid w:val="00531FD1"/>
    <w:pPr>
      <w:ind w:firstLine="0"/>
    </w:pPr>
  </w:style>
  <w:style w:type="paragraph" w:styleId="ListContinue5">
    <w:name w:val="List Continue 5"/>
    <w:basedOn w:val="List5"/>
    <w:rsid w:val="00531FD1"/>
    <w:pPr>
      <w:ind w:firstLine="0"/>
    </w:pPr>
  </w:style>
  <w:style w:type="paragraph" w:styleId="ListNumber3">
    <w:name w:val="List Number 3"/>
    <w:basedOn w:val="List3"/>
    <w:rsid w:val="00531FD1"/>
    <w:pPr>
      <w:numPr>
        <w:numId w:val="5"/>
      </w:numPr>
    </w:pPr>
  </w:style>
  <w:style w:type="paragraph" w:styleId="ListNumber4">
    <w:name w:val="List Number 4"/>
    <w:basedOn w:val="List4"/>
    <w:rsid w:val="00531FD1"/>
    <w:pPr>
      <w:numPr>
        <w:numId w:val="6"/>
      </w:numPr>
    </w:pPr>
  </w:style>
  <w:style w:type="paragraph" w:styleId="ListNumber5">
    <w:name w:val="List Number 5"/>
    <w:basedOn w:val="List5"/>
    <w:rsid w:val="00531FD1"/>
    <w:pPr>
      <w:numPr>
        <w:numId w:val="7"/>
      </w:numPr>
    </w:pPr>
  </w:style>
  <w:style w:type="paragraph" w:styleId="BlockText">
    <w:name w:val="Block Text"/>
    <w:basedOn w:val="Normal"/>
    <w:rsid w:val="00531FD1"/>
    <w:pPr>
      <w:spacing w:after="120"/>
      <w:ind w:left="1440" w:right="1440"/>
    </w:pPr>
  </w:style>
  <w:style w:type="character" w:customStyle="1" w:styleId="Subscript">
    <w:name w:val="Subscript"/>
    <w:basedOn w:val="DefaultParagraphFont"/>
    <w:rsid w:val="00531FD1"/>
    <w:rPr>
      <w:sz w:val="16"/>
      <w:vertAlign w:val="subscript"/>
    </w:rPr>
  </w:style>
  <w:style w:type="character" w:customStyle="1" w:styleId="Superscript">
    <w:name w:val="Superscript"/>
    <w:basedOn w:val="DefaultParagraphFont"/>
    <w:rsid w:val="00531FD1"/>
    <w:rPr>
      <w:sz w:val="16"/>
      <w:vertAlign w:val="superscript"/>
    </w:rPr>
  </w:style>
  <w:style w:type="character" w:customStyle="1" w:styleId="Symbols">
    <w:name w:val="Symbols"/>
    <w:basedOn w:val="DefaultParagraphFont"/>
    <w:rsid w:val="00531FD1"/>
    <w:rPr>
      <w:rFonts w:ascii="Symbol" w:hAnsi="Symbol"/>
    </w:rPr>
  </w:style>
  <w:style w:type="character" w:customStyle="1" w:styleId="MenuOptions">
    <w:name w:val="Menu Options"/>
    <w:basedOn w:val="DefaultParagraphFont"/>
    <w:rsid w:val="00531FD1"/>
    <w:rPr>
      <w:rFonts w:ascii="Arial Narrow" w:hAnsi="Arial Narrow"/>
      <w:smallCaps/>
    </w:rPr>
  </w:style>
  <w:style w:type="character" w:customStyle="1" w:styleId="Buttons">
    <w:name w:val="Buttons"/>
    <w:basedOn w:val="DefaultParagraphFont"/>
    <w:rsid w:val="00531FD1"/>
    <w:rPr>
      <w:b/>
    </w:rPr>
  </w:style>
  <w:style w:type="character" w:customStyle="1" w:styleId="Underlined">
    <w:name w:val="Underlined"/>
    <w:basedOn w:val="DefaultParagraphFont"/>
    <w:rsid w:val="00531FD1"/>
    <w:rPr>
      <w:u w:val="single"/>
    </w:rPr>
  </w:style>
  <w:style w:type="paragraph" w:customStyle="1" w:styleId="TableBodyTextRight">
    <w:name w:val="Table Body Text Right"/>
    <w:basedOn w:val="TableBodyText"/>
    <w:rsid w:val="00531FD1"/>
    <w:pPr>
      <w:widowControl w:val="0"/>
      <w:autoSpaceDE w:val="0"/>
      <w:autoSpaceDN w:val="0"/>
      <w:adjustRightInd w:val="0"/>
      <w:jc w:val="right"/>
    </w:pPr>
    <w:rPr>
      <w:rFonts w:cs="Arial"/>
      <w:szCs w:val="18"/>
    </w:rPr>
  </w:style>
  <w:style w:type="paragraph" w:customStyle="1" w:styleId="CopyrightText">
    <w:name w:val="Copyright Text"/>
    <w:basedOn w:val="BodyText"/>
    <w:rsid w:val="00531FD1"/>
    <w:rPr>
      <w:sz w:val="18"/>
    </w:rPr>
  </w:style>
  <w:style w:type="paragraph" w:customStyle="1" w:styleId="BodySmallRight">
    <w:name w:val="Body Small Right"/>
    <w:basedOn w:val="BodyTextRight"/>
    <w:rsid w:val="00531FD1"/>
    <w:rPr>
      <w:sz w:val="18"/>
      <w:szCs w:val="18"/>
    </w:rPr>
  </w:style>
  <w:style w:type="paragraph" w:customStyle="1" w:styleId="MarginEdition">
    <w:name w:val="Margin Edition"/>
    <w:basedOn w:val="MarginNote"/>
    <w:rsid w:val="00531FD1"/>
    <w:pPr>
      <w:spacing w:before="0" w:after="0"/>
    </w:pPr>
    <w:rPr>
      <w:rFonts w:ascii="Times New Roman" w:hAnsi="Times New Roman"/>
      <w:color w:val="999999"/>
    </w:rPr>
  </w:style>
  <w:style w:type="paragraph" w:customStyle="1" w:styleId="Spacer">
    <w:name w:val="Spacer"/>
    <w:basedOn w:val="Normal"/>
    <w:rsid w:val="00531FD1"/>
    <w:rPr>
      <w:sz w:val="2"/>
      <w:szCs w:val="2"/>
    </w:rPr>
  </w:style>
  <w:style w:type="character" w:customStyle="1" w:styleId="Small">
    <w:name w:val="Small"/>
    <w:basedOn w:val="DefaultParagraphFont"/>
    <w:rsid w:val="00531FD1"/>
    <w:rPr>
      <w:sz w:val="16"/>
    </w:rPr>
  </w:style>
  <w:style w:type="paragraph" w:customStyle="1" w:styleId="WideTable">
    <w:name w:val="Wide Table"/>
    <w:basedOn w:val="Normal"/>
    <w:rsid w:val="00531FD1"/>
    <w:pPr>
      <w:ind w:left="-1418"/>
    </w:pPr>
    <w:rPr>
      <w:sz w:val="2"/>
      <w:szCs w:val="2"/>
    </w:rPr>
  </w:style>
  <w:style w:type="character" w:styleId="PageNumber">
    <w:name w:val="page number"/>
    <w:basedOn w:val="DefaultParagraphFont"/>
    <w:rsid w:val="00531FD1"/>
  </w:style>
  <w:style w:type="paragraph" w:styleId="Quote">
    <w:name w:val="Quote"/>
    <w:basedOn w:val="Heading1"/>
    <w:link w:val="QuoteChar"/>
    <w:qFormat/>
    <w:rsid w:val="00531FD1"/>
    <w:rPr>
      <w:b w:val="0"/>
      <w:sz w:val="72"/>
      <w:szCs w:val="72"/>
      <w:lang w:val="en-NZ"/>
    </w:rPr>
  </w:style>
  <w:style w:type="character" w:customStyle="1" w:styleId="QuoteChar">
    <w:name w:val="Quote Char"/>
    <w:basedOn w:val="DefaultParagraphFont"/>
    <w:link w:val="Quote"/>
    <w:rsid w:val="00531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FD1"/>
    <w:pPr>
      <w:pageBreakBefore/>
    </w:pPr>
  </w:style>
  <w:style w:type="paragraph" w:customStyle="1" w:styleId="Border">
    <w:name w:val="Border"/>
    <w:basedOn w:val="Normal"/>
    <w:qFormat/>
    <w:rsid w:val="00531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FD1"/>
    <w:rPr>
      <w:b/>
      <w:bCs/>
      <w:i/>
      <w:iCs/>
      <w:color w:val="auto"/>
    </w:rPr>
  </w:style>
  <w:style w:type="paragraph" w:styleId="IntenseQuote">
    <w:name w:val="Intense Quote"/>
    <w:basedOn w:val="Normal"/>
    <w:next w:val="Normal"/>
    <w:link w:val="IntenseQuoteChar"/>
    <w:uiPriority w:val="30"/>
    <w:qFormat/>
    <w:rsid w:val="00531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FD1"/>
    <w:rPr>
      <w:smallCaps/>
      <w:color w:val="auto"/>
      <w:u w:val="single"/>
    </w:rPr>
  </w:style>
  <w:style w:type="character" w:styleId="IntenseReference">
    <w:name w:val="Intense Reference"/>
    <w:basedOn w:val="DefaultParagraphFont"/>
    <w:uiPriority w:val="32"/>
    <w:qFormat/>
    <w:rsid w:val="00531FD1"/>
    <w:rPr>
      <w:b/>
      <w:bCs/>
      <w:smallCaps/>
      <w:color w:val="auto"/>
      <w:spacing w:val="5"/>
      <w:u w:val="single"/>
    </w:rPr>
  </w:style>
  <w:style w:type="paragraph" w:customStyle="1" w:styleId="2ColumnHeading">
    <w:name w:val="2Column Heading"/>
    <w:basedOn w:val="BodyText"/>
    <w:qFormat/>
    <w:rsid w:val="00531FD1"/>
    <w:pPr>
      <w:spacing w:after="60"/>
      <w:ind w:left="-2268"/>
    </w:pPr>
    <w:rPr>
      <w:b/>
    </w:rPr>
  </w:style>
  <w:style w:type="paragraph" w:customStyle="1" w:styleId="Heading1TOC">
    <w:name w:val="Heading1 TOC"/>
    <w:basedOn w:val="Normal"/>
    <w:qFormat/>
    <w:rsid w:val="00531FD1"/>
    <w:pPr>
      <w:spacing w:before="240" w:after="120"/>
    </w:pPr>
    <w:rPr>
      <w:rFonts w:ascii="Times New Roman" w:hAnsi="Times New Roman"/>
      <w:b/>
      <w:sz w:val="32"/>
    </w:rPr>
  </w:style>
  <w:style w:type="paragraph" w:customStyle="1" w:styleId="Heading2TOC">
    <w:name w:val="Heading2 TOC"/>
    <w:basedOn w:val="Normal"/>
    <w:qFormat/>
    <w:rsid w:val="00531FD1"/>
    <w:pPr>
      <w:spacing w:before="240" w:after="60"/>
    </w:pPr>
    <w:rPr>
      <w:rFonts w:ascii="Times New Roman" w:hAnsi="Times New Roman"/>
      <w:b/>
      <w:sz w:val="28"/>
    </w:rPr>
  </w:style>
  <w:style w:type="character" w:customStyle="1" w:styleId="Underline">
    <w:name w:val="Underline"/>
    <w:basedOn w:val="DefaultParagraphFont"/>
    <w:qFormat/>
    <w:rsid w:val="00531FD1"/>
    <w:rPr>
      <w:u w:val="single"/>
    </w:rPr>
  </w:style>
  <w:style w:type="character" w:customStyle="1" w:styleId="BoldandItalics">
    <w:name w:val="Bold and Italics"/>
    <w:qFormat/>
    <w:rsid w:val="00531FD1"/>
    <w:rPr>
      <w:b/>
      <w:i/>
      <w:u w:val="none"/>
    </w:rPr>
  </w:style>
  <w:style w:type="paragraph" w:styleId="BalloonText">
    <w:name w:val="Balloon Text"/>
    <w:basedOn w:val="Normal"/>
    <w:link w:val="BalloonTextChar"/>
    <w:rsid w:val="00531FD1"/>
    <w:rPr>
      <w:rFonts w:ascii="Tahoma" w:hAnsi="Tahoma" w:cs="Tahoma"/>
      <w:sz w:val="16"/>
      <w:szCs w:val="16"/>
    </w:rPr>
  </w:style>
  <w:style w:type="character" w:customStyle="1" w:styleId="BalloonTextChar">
    <w:name w:val="Balloon Text Char"/>
    <w:basedOn w:val="DefaultParagraphFont"/>
    <w:link w:val="BalloonText"/>
    <w:rsid w:val="00531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FD1"/>
    <w:rPr>
      <w:b/>
      <w:color w:val="660033"/>
      <w:spacing w:val="0"/>
    </w:rPr>
  </w:style>
  <w:style w:type="paragraph" w:customStyle="1" w:styleId="Nameditemlist">
    <w:name w:val="Named item list"/>
    <w:basedOn w:val="BodyText"/>
    <w:qFormat/>
    <w:rsid w:val="00531FD1"/>
    <w:pPr>
      <w:tabs>
        <w:tab w:val="left" w:pos="2835"/>
      </w:tabs>
      <w:ind w:left="2835" w:hanging="2835"/>
    </w:pPr>
  </w:style>
  <w:style w:type="paragraph" w:customStyle="1" w:styleId="BodyTextnopadding">
    <w:name w:val="Body Text no padding"/>
    <w:basedOn w:val="BodyText"/>
    <w:qFormat/>
    <w:rsid w:val="00531FD1"/>
    <w:pPr>
      <w:spacing w:before="0" w:after="0"/>
    </w:pPr>
  </w:style>
  <w:style w:type="paragraph" w:customStyle="1" w:styleId="BodyTextBold">
    <w:name w:val="Body Text Bold"/>
    <w:basedOn w:val="BodyText"/>
    <w:qFormat/>
    <w:rsid w:val="00531FD1"/>
    <w:rPr>
      <w:b/>
    </w:rPr>
  </w:style>
  <w:style w:type="character" w:styleId="Hyperlink">
    <w:name w:val="Hyperlink"/>
    <w:basedOn w:val="DefaultParagraphFont"/>
    <w:uiPriority w:val="99"/>
    <w:unhideWhenUsed/>
    <w:rsid w:val="004917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1606</Words>
  <Characters>10653</Characters>
  <Application>Microsoft Office Word</Application>
  <DocSecurity>0</DocSecurity>
  <Lines>332</Lines>
  <Paragraphs>155</Paragraphs>
  <ScaleCrop>false</ScaleCrop>
  <Company>Author-it Software Corporation Ltd.</Company>
  <LinksUpToDate>false</LinksUpToDate>
  <CharactersWithSpaces>12104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UETTDRDS56 Design power system transmission, sub-transmission &amp; zone substation civil &amp; structural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