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4B5" w:rsidP="00E134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UETTDRDS56 Design power system transmission, sub-transmission &amp; zone substation civil &amp; structural components</w:t>
      </w:r>
      <w:r>
        <w:fldChar w:fldCharType="end"/>
      </w:r>
    </w:p>
    <w:p w:rsidR="00E134B5" w:rsidP="00E134B5">
      <w:pPr>
        <w:pStyle w:val="Version"/>
        <w:sectPr w:rsidSect="00B62D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D2C" w:rsidP="00B62D2C">
      <w:pPr>
        <w:pStyle w:val="SuperHeading"/>
      </w:pPr>
      <w:r w:rsidRPr="00B62D2C">
        <w:t>Assessment Requirements for UETTDRDS56 Design power system transmission, sub-transmission &amp; zone substation civil &amp; structural components</w:t>
      </w:r>
    </w:p>
    <w:p w:rsidR="00000000" w:rsidRPr="00B62D2C" w:rsidP="00B62D2C">
      <w:pPr>
        <w:pStyle w:val="Heading1"/>
      </w:pPr>
      <w:bookmarkStart w:id="1" w:name="O_1002804"/>
      <w:bookmarkEnd w:id="1"/>
      <w:r w:rsidRPr="00B62D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D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D2C" w:rsidP="00B62D2C">
            <w:pPr>
              <w:pStyle w:val="BodyText"/>
            </w:pPr>
            <w:r w:rsidRPr="00B62D2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62D2C" w:rsidP="00B62D2C">
      <w:pPr>
        <w:pStyle w:val="NoPaddingFontSize1"/>
      </w:pPr>
    </w:p>
    <w:p w:rsidR="00000000" w:rsidRPr="00B62D2C" w:rsidP="00B62D2C">
      <w:pPr>
        <w:pStyle w:val="AllowPageBreak"/>
      </w:pPr>
    </w:p>
    <w:p w:rsidR="00000000" w:rsidRPr="00B62D2C" w:rsidP="00B62D2C">
      <w:pPr>
        <w:pStyle w:val="Heading1"/>
      </w:pPr>
      <w:bookmarkStart w:id="2" w:name="O_1002805"/>
      <w:bookmarkEnd w:id="2"/>
      <w:r w:rsidRPr="00B62D2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D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D2C">
            <w:pPr>
              <w:pStyle w:val="BodyText"/>
              <w:rPr>
                <w:lang w:val="en-NZ"/>
              </w:rPr>
            </w:pPr>
            <w:r w:rsidRPr="00B62D2C">
              <w:t>Evidence required to demonstrate competence in this unit must be relevant to a</w:t>
            </w:r>
            <w:r w:rsidRPr="00B62D2C">
              <w:t xml:space="preserve">nd satisfy all of the requirements of the elements and performance criteria on at least two separate occasions and include:  </w:t>
            </w:r>
          </w:p>
        </w:tc>
      </w:tr>
      <w:tr w:rsidTr="00B62D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D2C" w:rsidP="00B62D2C">
            <w:pPr>
              <w:pStyle w:val="ListBullet"/>
            </w:pPr>
            <w:r w:rsidRPr="00B62D2C">
              <w:t>applying relevant work health and safety (WHS)/occupational health and safety (OHS) requirements, including the use of risk cont</w:t>
            </w:r>
            <w:r w:rsidRPr="00B62D2C">
              <w:t>rol measures</w:t>
            </w:r>
          </w:p>
          <w:p w:rsidR="00000000" w:rsidRPr="00B62D2C" w:rsidP="00B62D2C">
            <w:pPr>
              <w:pStyle w:val="ListBullet"/>
            </w:pPr>
            <w:r w:rsidRPr="00B62D2C">
              <w:t>applying sustainable energy principles and practices</w:t>
            </w:r>
          </w:p>
          <w:p w:rsidR="00000000" w:rsidRPr="00B62D2C" w:rsidP="00B62D2C">
            <w:pPr>
              <w:pStyle w:val="ListBullet"/>
            </w:pPr>
            <w:r w:rsidRPr="00B62D2C">
              <w:t>completing two (2) compliant technical designs, including each of the following:</w:t>
            </w:r>
          </w:p>
          <w:p w:rsidR="00000000" w:rsidRPr="00B62D2C" w:rsidP="00B62D2C">
            <w:pPr>
              <w:pStyle w:val="ListBullet2"/>
            </w:pPr>
            <w:r w:rsidRPr="00B62D2C">
              <w:t>earthworks</w:t>
            </w:r>
          </w:p>
          <w:p w:rsidR="00000000" w:rsidRPr="00B62D2C" w:rsidP="00B62D2C">
            <w:pPr>
              <w:pStyle w:val="ListBullet2"/>
            </w:pPr>
            <w:r w:rsidRPr="00B62D2C">
              <w:t>foundation design, including relationship to geotechnical analysis</w:t>
            </w:r>
          </w:p>
          <w:p w:rsidR="00000000" w:rsidRPr="00B62D2C" w:rsidP="00B62D2C">
            <w:pPr>
              <w:pStyle w:val="ListBullet2"/>
            </w:pPr>
            <w:r w:rsidRPr="00B62D2C">
              <w:t>footing layout, including assignment of reference levels and benchmark</w:t>
            </w:r>
          </w:p>
          <w:p w:rsidR="00000000" w:rsidRPr="00B62D2C" w:rsidP="00B62D2C">
            <w:pPr>
              <w:pStyle w:val="ListBullet2"/>
            </w:pPr>
            <w:r w:rsidRPr="00B62D2C">
              <w:t>conduits, pits and drainage</w:t>
            </w:r>
          </w:p>
          <w:p w:rsidR="00000000" w:rsidRPr="00B62D2C" w:rsidP="00B62D2C">
            <w:pPr>
              <w:pStyle w:val="ListBullet2"/>
            </w:pPr>
            <w:r w:rsidRPr="00B62D2C">
              <w:t>hydraulics, including fire and safety facilities</w:t>
            </w:r>
          </w:p>
          <w:p w:rsidR="00000000" w:rsidRPr="00B62D2C" w:rsidP="00B62D2C">
            <w:pPr>
              <w:pStyle w:val="ListBullet2"/>
            </w:pPr>
            <w:r w:rsidRPr="00B62D2C">
              <w:t>access roads</w:t>
            </w:r>
          </w:p>
          <w:p w:rsidR="00000000" w:rsidRPr="00B62D2C" w:rsidP="00B62D2C">
            <w:pPr>
              <w:pStyle w:val="ListBullet2"/>
            </w:pPr>
            <w:r w:rsidRPr="00B62D2C">
              <w:t>fences and gates, including implementation of earth potential rise (EPR) control measures</w:t>
            </w:r>
          </w:p>
          <w:p w:rsidR="00000000" w:rsidRPr="00B62D2C" w:rsidP="00B62D2C">
            <w:pPr>
              <w:pStyle w:val="ListBullet2"/>
            </w:pPr>
            <w:r w:rsidRPr="00B62D2C">
              <w:t>trans</w:t>
            </w:r>
            <w:r w:rsidRPr="00B62D2C">
              <w:t>former fire and sound attenuation measures, bunding and oil containment</w:t>
            </w:r>
          </w:p>
          <w:p w:rsidR="00000000" w:rsidRPr="00B62D2C" w:rsidP="00B62D2C">
            <w:pPr>
              <w:pStyle w:val="ListBullet2"/>
            </w:pPr>
            <w:r w:rsidRPr="00B62D2C">
              <w:t>indoor and outdoor structural steelwork</w:t>
            </w:r>
          </w:p>
          <w:p w:rsidR="00000000" w:rsidRPr="00B62D2C" w:rsidP="00B62D2C">
            <w:pPr>
              <w:pStyle w:val="ListBullet"/>
            </w:pPr>
            <w:r w:rsidRPr="00B62D2C">
              <w:t>completing designs, including all the following:</w:t>
            </w:r>
          </w:p>
          <w:p w:rsidR="00000000" w:rsidRPr="00B62D2C" w:rsidP="00B62D2C">
            <w:pPr>
              <w:pStyle w:val="ListBullet2"/>
            </w:pPr>
            <w:r w:rsidRPr="00B62D2C">
              <w:t>activities that address the correction of errors in the process</w:t>
            </w:r>
          </w:p>
          <w:p w:rsidR="00000000" w:rsidRPr="00B62D2C" w:rsidP="00B62D2C">
            <w:pPr>
              <w:pStyle w:val="ListBullet2"/>
            </w:pPr>
            <w:r w:rsidRPr="00B62D2C">
              <w:t>application of a design contr</w:t>
            </w:r>
            <w:r w:rsidRPr="00B62D2C">
              <w:t>ol checklist which lists all of the required design activities to be carried out in this process</w:t>
            </w:r>
          </w:p>
          <w:p w:rsidR="00000000" w:rsidRPr="00B62D2C" w:rsidP="00B62D2C">
            <w:pPr>
              <w:pStyle w:val="ListBullet"/>
            </w:pPr>
            <w:r w:rsidRPr="00B62D2C">
              <w:t>dealing with unplanned events on at least one (1) occasion.</w:t>
            </w:r>
          </w:p>
        </w:tc>
      </w:tr>
    </w:tbl>
    <w:p w:rsidR="00000000" w:rsidRPr="00B62D2C" w:rsidP="00B62D2C">
      <w:pPr>
        <w:pStyle w:val="NoPaddingFontSize1"/>
      </w:pPr>
    </w:p>
    <w:p w:rsidR="00000000" w:rsidRPr="00B62D2C" w:rsidP="00B62D2C">
      <w:pPr>
        <w:pStyle w:val="AllowPageBreak"/>
      </w:pPr>
    </w:p>
    <w:p w:rsidR="00000000" w:rsidRPr="00B62D2C" w:rsidP="00B62D2C">
      <w:pPr>
        <w:pStyle w:val="Heading1"/>
      </w:pPr>
      <w:bookmarkStart w:id="3" w:name="O_1002806"/>
      <w:bookmarkEnd w:id="3"/>
      <w:r w:rsidRPr="00B62D2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D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D2C">
            <w:pPr>
              <w:pStyle w:val="BodyText"/>
              <w:rPr>
                <w:lang w:val="en-NZ"/>
              </w:rPr>
            </w:pPr>
            <w:r w:rsidRPr="00B62D2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62D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D2C" w:rsidP="00B62D2C">
            <w:pPr>
              <w:pStyle w:val="ListBullet"/>
            </w:pPr>
            <w:r w:rsidRPr="00B62D2C">
              <w:t>principles of transmission, sub-transmission and zone substation civil and</w:t>
            </w:r>
            <w:r w:rsidRPr="00B62D2C">
              <w:t xml:space="preserve"> structural designs encompassing:</w:t>
            </w:r>
          </w:p>
          <w:p w:rsidR="00000000" w:rsidRPr="00B62D2C" w:rsidP="00B62D2C">
            <w:pPr>
              <w:pStyle w:val="ListBullet2"/>
            </w:pPr>
            <w:r w:rsidRPr="00B62D2C">
              <w:t xml:space="preserve">Commonwealth/state/territory and local government legislation, standards, codes, supply </w:t>
            </w:r>
            <w:r w:rsidRPr="00B62D2C">
              <w:t>authority regulations and/or enterprise requirements applicable to the substation design management principles</w:t>
            </w:r>
          </w:p>
          <w:p w:rsidR="00000000" w:rsidRPr="00B62D2C" w:rsidP="00B62D2C">
            <w:pPr>
              <w:pStyle w:val="ListBullet2"/>
            </w:pPr>
            <w:r w:rsidRPr="00B62D2C">
              <w:t>requirements for the use of the substation system construction manuals, system diagrams/plans and drawings and for plans such as work method statements for the control of WHS/OHS risks</w:t>
            </w:r>
          </w:p>
          <w:p w:rsidR="00000000" w:rsidRPr="00B62D2C" w:rsidP="00B62D2C">
            <w:pPr>
              <w:pStyle w:val="ListBullet2"/>
            </w:pPr>
            <w:r w:rsidRPr="00B62D2C">
              <w:t xml:space="preserve">types of activities to be carried out - earthworks, foundation design, </w:t>
            </w:r>
            <w:r w:rsidRPr="00B62D2C">
              <w:t>including relationship to geotechnical analysis; footing layout; including assignment of reference levels and benchmark; conduits, pits and drainage; hydraulics; including fire and safety facilities; access roads, fences and gates, including implementation</w:t>
            </w:r>
            <w:r w:rsidRPr="00B62D2C">
              <w:t xml:space="preserve"> of EPR control measures, transformer fire and sound attenuation measures, bunding and oil containment, indoor and outdoor structural steelwork</w:t>
            </w:r>
          </w:p>
          <w:p w:rsidR="00000000" w:rsidRPr="00B62D2C" w:rsidP="00B62D2C">
            <w:pPr>
              <w:pStyle w:val="ListBullet2"/>
            </w:pPr>
            <w:r w:rsidRPr="00B62D2C">
              <w:t>types of civil and structural parameters - access road suitable for low loaders and cranes (width, space turning</w:t>
            </w:r>
            <w:r w:rsidRPr="00B62D2C">
              <w:t xml:space="preserve"> radius and gradient); outdoor steelwork (stands), including strain/landing tower, surge arrestor, isolator, voltage transformer, current transformer, circuit breaker, fault thrower, lightening masts, cages/screens, sealing ends, cable supports, operating </w:t>
            </w:r>
            <w:r w:rsidRPr="00B62D2C">
              <w:t>stands and busbar supports</w:t>
            </w:r>
          </w:p>
          <w:p w:rsidR="00000000" w:rsidRPr="00B62D2C" w:rsidP="00B62D2C">
            <w:pPr>
              <w:pStyle w:val="ListBullet2"/>
            </w:pPr>
            <w:r w:rsidRPr="00B62D2C">
              <w:t>indoor steelwork, including frequency injection, cable supports, cages/screens and cable ladder supports.</w:t>
            </w:r>
          </w:p>
        </w:tc>
      </w:tr>
    </w:tbl>
    <w:p w:rsidR="00000000" w:rsidRPr="00B62D2C" w:rsidP="00B62D2C">
      <w:pPr>
        <w:pStyle w:val="NoPaddingFontSize1"/>
      </w:pPr>
    </w:p>
    <w:p w:rsidR="00000000" w:rsidRPr="00B62D2C" w:rsidP="00B62D2C">
      <w:pPr>
        <w:pStyle w:val="AllowPageBreak"/>
      </w:pPr>
    </w:p>
    <w:p w:rsidR="00000000" w:rsidRPr="00B62D2C" w:rsidP="00B62D2C">
      <w:pPr>
        <w:pStyle w:val="Heading1"/>
      </w:pPr>
      <w:bookmarkStart w:id="4" w:name="O_1002807"/>
      <w:bookmarkEnd w:id="4"/>
      <w:r w:rsidRPr="00B62D2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D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D2C" w:rsidP="00B62D2C">
            <w:pPr>
              <w:pStyle w:val="BodyText"/>
            </w:pPr>
            <w:r w:rsidRPr="00B62D2C">
              <w:t>Assessors must hold credentials specified within the Standards for Registered Tr</w:t>
            </w:r>
            <w:r w:rsidRPr="00B62D2C">
              <w:t>aining Organisations current at the time of assessment.</w:t>
            </w:r>
          </w:p>
          <w:p w:rsidR="00000000" w:rsidRPr="00B62D2C" w:rsidP="00B62D2C">
            <w:pPr>
              <w:pStyle w:val="BodyText"/>
            </w:pPr>
            <w:r w:rsidRPr="00B62D2C">
              <w:t>Assessment must satisfy the Principles of Assessment and Rules of Evidence and all regulatory requirements included within the Standards for Registered Training Organisations current at the time of as</w:t>
            </w:r>
            <w:r w:rsidRPr="00B62D2C">
              <w:t>sessment.</w:t>
            </w:r>
          </w:p>
          <w:p w:rsidR="00000000" w:rsidRPr="00B62D2C" w:rsidP="00B62D2C">
            <w:pPr>
              <w:pStyle w:val="BodyText"/>
            </w:pPr>
            <w:r w:rsidRPr="00B62D2C">
              <w:t>Assessment must occur in workplace operational situations where it is appropriate to do so; where this is not appropriate, assessment must occur in simulated conditions involving realistic and authentic activities that replicate operational workp</w:t>
            </w:r>
            <w:r w:rsidRPr="00B62D2C">
              <w:t>lace conditions.</w:t>
            </w:r>
          </w:p>
          <w:p w:rsidR="00000000" w:rsidRPr="00B62D2C" w:rsidP="00B62D2C">
            <w:pPr>
              <w:pStyle w:val="BodyText"/>
            </w:pPr>
            <w:r w:rsidRPr="00B62D2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62D2C" w:rsidP="00B62D2C">
            <w:pPr>
              <w:pStyle w:val="BodyText"/>
            </w:pPr>
            <w:r w:rsidRPr="00B62D2C">
              <w:t>Resources for assessment must include access to:</w:t>
            </w:r>
          </w:p>
          <w:p w:rsidR="00000000" w:rsidRPr="00B62D2C" w:rsidP="00B62D2C">
            <w:pPr>
              <w:pStyle w:val="ListBullet"/>
            </w:pPr>
            <w:r w:rsidRPr="00B62D2C">
              <w:t>a range of relevant e</w:t>
            </w:r>
            <w:r w:rsidRPr="00B62D2C">
              <w:t>xercises, case studies and/or other simulations</w:t>
            </w:r>
          </w:p>
          <w:p w:rsidR="00000000" w:rsidRPr="00B62D2C" w:rsidP="00B62D2C">
            <w:pPr>
              <w:pStyle w:val="ListBullet"/>
            </w:pPr>
            <w:r w:rsidRPr="00B62D2C">
              <w:t>relevant and appropriate materials, tools, facilities, equipment and personal protective equipment (PPE) currently used in industry to undertake design of transmission, sub-transmission and zone substation civil and structural components</w:t>
            </w:r>
          </w:p>
          <w:p w:rsidR="00000000" w:rsidRPr="00B62D2C" w:rsidP="00B62D2C">
            <w:pPr>
              <w:pStyle w:val="ListBullet"/>
            </w:pPr>
            <w:r w:rsidRPr="00B62D2C">
              <w:t>applicable documen</w:t>
            </w:r>
            <w:r w:rsidRPr="00B62D2C">
              <w:t>tation including workplace procedures, relevant industry standards, equipment specifications, regulations, codes of practice and operation manuals.</w:t>
            </w:r>
          </w:p>
        </w:tc>
      </w:tr>
    </w:tbl>
    <w:p w:rsidR="00000000" w:rsidRPr="00B62D2C" w:rsidP="00B62D2C">
      <w:pPr>
        <w:pStyle w:val="NoPaddingFontSize1"/>
      </w:pPr>
    </w:p>
    <w:p w:rsidR="00000000" w:rsidRPr="00B62D2C" w:rsidP="00B62D2C">
      <w:pPr>
        <w:pStyle w:val="AllowPageBreak"/>
      </w:pPr>
    </w:p>
    <w:p w:rsidR="00000000" w:rsidRPr="00B62D2C" w:rsidP="00B62D2C">
      <w:pPr>
        <w:pStyle w:val="Heading1"/>
      </w:pPr>
      <w:bookmarkStart w:id="5" w:name="O_1002810"/>
      <w:bookmarkEnd w:id="5"/>
      <w:r w:rsidRPr="00B62D2C">
        <w:t>Links</w:t>
      </w:r>
    </w:p>
    <w:p w:rsidR="00000000" w:rsidRPr="00B62D2C" w:rsidP="00E134B5">
      <w:pPr>
        <w:pStyle w:val="BodyText"/>
      </w:pPr>
      <w:r w:rsidRPr="00B62D2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4095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62D2C" w:rsidP="00B62D2C"/>
    <w:sectPr w:rsidSect="00B62D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D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D2C" w:rsidRPr="00E134B5" w:rsidP="00E134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D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B5" w:rsidP="00B62D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4B5" w:rsidP="00B62D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134B5" w:rsidP="00B62D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D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D2C" w:rsidRPr="00E134B5" w:rsidP="00E134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D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B5" w:rsidRPr="002D2AF8" w:rsidP="00B62D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UETTDRDS56 Design power system transmission, sub-transmission &amp; zone substation civil &amp; structural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E134B5" w:rsidP="00B62D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58E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DC4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E81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D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D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D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D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D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D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D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D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D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D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D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D2C"/>
  </w:style>
  <w:style w:type="character" w:customStyle="1" w:styleId="Heading1Char">
    <w:name w:val="Heading 1 Char"/>
    <w:basedOn w:val="DefaultParagraphFont"/>
    <w:link w:val="Heading1"/>
    <w:rsid w:val="00B62D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D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D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D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2D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2D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D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2D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D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D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D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D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D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D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D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D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D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D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D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D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D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D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D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2D2C"/>
    <w:rPr>
      <w:b/>
      <w:spacing w:val="0"/>
    </w:rPr>
  </w:style>
  <w:style w:type="paragraph" w:customStyle="1" w:styleId="SuperTitle">
    <w:name w:val="SuperTitle"/>
    <w:basedOn w:val="Title"/>
    <w:rsid w:val="00B62D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D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D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2D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D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D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D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D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D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D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D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D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D2C"/>
    <w:rPr>
      <w:i/>
    </w:rPr>
  </w:style>
  <w:style w:type="paragraph" w:styleId="Caption">
    <w:name w:val="caption"/>
    <w:basedOn w:val="BodyText"/>
    <w:next w:val="Normal"/>
    <w:qFormat/>
    <w:rsid w:val="00B62D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D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D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D2C"/>
  </w:style>
  <w:style w:type="paragraph" w:styleId="TableofFigures">
    <w:name w:val="table of figures"/>
    <w:basedOn w:val="Normal"/>
    <w:next w:val="Normal"/>
    <w:semiHidden/>
    <w:rsid w:val="00B62D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D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2D2C"/>
    <w:rPr>
      <w:rFonts w:ascii="Wingdings" w:hAnsi="Wingdings"/>
    </w:rPr>
  </w:style>
  <w:style w:type="paragraph" w:customStyle="1" w:styleId="TableHeading">
    <w:name w:val="Table Heading"/>
    <w:basedOn w:val="HeadingBase"/>
    <w:rsid w:val="00B62D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D2C"/>
    <w:rPr>
      <w:color w:val="0033CC"/>
      <w:u w:val="none"/>
    </w:rPr>
  </w:style>
  <w:style w:type="paragraph" w:customStyle="1" w:styleId="BodyTextRight">
    <w:name w:val="Body Text Right"/>
    <w:basedOn w:val="BodyText"/>
    <w:rsid w:val="00B62D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D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D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D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D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D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D2C"/>
    <w:rPr>
      <w:sz w:val="32"/>
    </w:rPr>
  </w:style>
  <w:style w:type="paragraph" w:customStyle="1" w:styleId="HeadingProcedure">
    <w:name w:val="Heading Procedure"/>
    <w:basedOn w:val="HeadingBase"/>
    <w:next w:val="Normal"/>
    <w:rsid w:val="00B62D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D2C"/>
    <w:pPr>
      <w:spacing w:before="60" w:after="60"/>
    </w:pPr>
  </w:style>
  <w:style w:type="paragraph" w:styleId="ListContinue">
    <w:name w:val="List Continue"/>
    <w:basedOn w:val="List"/>
    <w:rsid w:val="00B62D2C"/>
    <w:pPr>
      <w:ind w:firstLine="0"/>
    </w:pPr>
  </w:style>
  <w:style w:type="paragraph" w:customStyle="1" w:styleId="ListNote">
    <w:name w:val="List Note"/>
    <w:basedOn w:val="List"/>
    <w:rsid w:val="00B62D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D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D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D2C"/>
    <w:rPr>
      <w:rFonts w:ascii="Courier New" w:hAnsi="Courier New"/>
    </w:rPr>
  </w:style>
  <w:style w:type="paragraph" w:customStyle="1" w:styleId="NoteBullet">
    <w:name w:val="Note Bullet"/>
    <w:basedOn w:val="Note"/>
    <w:rsid w:val="00B62D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D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D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D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D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2D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D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D2C"/>
    <w:rPr>
      <w:b/>
      <w:smallCaps/>
    </w:rPr>
  </w:style>
  <w:style w:type="paragraph" w:customStyle="1" w:styleId="TableListNumber">
    <w:name w:val="Table List Number"/>
    <w:basedOn w:val="ListNumber"/>
    <w:rsid w:val="00B62D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D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D2C"/>
    <w:pPr>
      <w:numPr>
        <w:numId w:val="9"/>
      </w:numPr>
    </w:pPr>
  </w:style>
  <w:style w:type="paragraph" w:customStyle="1" w:styleId="ListAlpha2">
    <w:name w:val="List Alpha 2"/>
    <w:basedOn w:val="List2"/>
    <w:rsid w:val="00B62D2C"/>
    <w:pPr>
      <w:numPr>
        <w:numId w:val="8"/>
      </w:numPr>
    </w:pPr>
  </w:style>
  <w:style w:type="paragraph" w:styleId="List2">
    <w:name w:val="List 2"/>
    <w:basedOn w:val="BodyText"/>
    <w:rsid w:val="00B62D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D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D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D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D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D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2D2C"/>
    <w:pPr>
      <w:numPr>
        <w:numId w:val="4"/>
      </w:numPr>
    </w:pPr>
  </w:style>
  <w:style w:type="paragraph" w:styleId="ListContinue2">
    <w:name w:val="List Continue 2"/>
    <w:basedOn w:val="List2"/>
    <w:rsid w:val="00B62D2C"/>
    <w:pPr>
      <w:ind w:firstLine="0"/>
    </w:pPr>
  </w:style>
  <w:style w:type="paragraph" w:styleId="ListContinue3">
    <w:name w:val="List Continue 3"/>
    <w:basedOn w:val="List3"/>
    <w:rsid w:val="00B62D2C"/>
    <w:pPr>
      <w:ind w:left="1021" w:firstLine="0"/>
    </w:pPr>
  </w:style>
  <w:style w:type="paragraph" w:styleId="ListContinue4">
    <w:name w:val="List Continue 4"/>
    <w:basedOn w:val="List4"/>
    <w:rsid w:val="00B62D2C"/>
    <w:pPr>
      <w:ind w:firstLine="0"/>
    </w:pPr>
  </w:style>
  <w:style w:type="paragraph" w:styleId="ListContinue5">
    <w:name w:val="List Continue 5"/>
    <w:basedOn w:val="List5"/>
    <w:rsid w:val="00B62D2C"/>
    <w:pPr>
      <w:ind w:firstLine="0"/>
    </w:pPr>
  </w:style>
  <w:style w:type="paragraph" w:styleId="ListNumber3">
    <w:name w:val="List Number 3"/>
    <w:basedOn w:val="List3"/>
    <w:rsid w:val="00B62D2C"/>
    <w:pPr>
      <w:numPr>
        <w:numId w:val="5"/>
      </w:numPr>
    </w:pPr>
  </w:style>
  <w:style w:type="paragraph" w:styleId="ListNumber4">
    <w:name w:val="List Number 4"/>
    <w:basedOn w:val="List4"/>
    <w:rsid w:val="00B62D2C"/>
    <w:pPr>
      <w:numPr>
        <w:numId w:val="6"/>
      </w:numPr>
    </w:pPr>
  </w:style>
  <w:style w:type="paragraph" w:styleId="ListNumber5">
    <w:name w:val="List Number 5"/>
    <w:basedOn w:val="List5"/>
    <w:rsid w:val="00B62D2C"/>
    <w:pPr>
      <w:numPr>
        <w:numId w:val="7"/>
      </w:numPr>
    </w:pPr>
  </w:style>
  <w:style w:type="paragraph" w:styleId="BlockText">
    <w:name w:val="Block Text"/>
    <w:basedOn w:val="Normal"/>
    <w:rsid w:val="00B62D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D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D2C"/>
    <w:rPr>
      <w:sz w:val="16"/>
      <w:vertAlign w:val="superscript"/>
    </w:rPr>
  </w:style>
  <w:style w:type="character" w:customStyle="1" w:styleId="Symbols">
    <w:name w:val="Symbols"/>
    <w:basedOn w:val="DefaultParagraphFont"/>
    <w:rsid w:val="00B62D2C"/>
    <w:rPr>
      <w:rFonts w:ascii="Symbol" w:hAnsi="Symbol"/>
    </w:rPr>
  </w:style>
  <w:style w:type="character" w:customStyle="1" w:styleId="MenuOptions">
    <w:name w:val="Menu Options"/>
    <w:basedOn w:val="DefaultParagraphFont"/>
    <w:rsid w:val="00B62D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D2C"/>
    <w:rPr>
      <w:b/>
    </w:rPr>
  </w:style>
  <w:style w:type="character" w:customStyle="1" w:styleId="Underlined">
    <w:name w:val="Underlined"/>
    <w:basedOn w:val="DefaultParagraphFont"/>
    <w:rsid w:val="00B62D2C"/>
    <w:rPr>
      <w:u w:val="single"/>
    </w:rPr>
  </w:style>
  <w:style w:type="paragraph" w:customStyle="1" w:styleId="TableBodyTextRight">
    <w:name w:val="Table Body Text Right"/>
    <w:basedOn w:val="TableBodyText"/>
    <w:rsid w:val="00B62D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D2C"/>
    <w:rPr>
      <w:sz w:val="18"/>
    </w:rPr>
  </w:style>
  <w:style w:type="paragraph" w:customStyle="1" w:styleId="BodySmallRight">
    <w:name w:val="Body Small Right"/>
    <w:basedOn w:val="BodyTextRight"/>
    <w:rsid w:val="00B62D2C"/>
    <w:rPr>
      <w:sz w:val="18"/>
      <w:szCs w:val="18"/>
    </w:rPr>
  </w:style>
  <w:style w:type="paragraph" w:customStyle="1" w:styleId="MarginEdition">
    <w:name w:val="Margin Edition"/>
    <w:basedOn w:val="MarginNote"/>
    <w:rsid w:val="00B62D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D2C"/>
    <w:rPr>
      <w:sz w:val="2"/>
      <w:szCs w:val="2"/>
    </w:rPr>
  </w:style>
  <w:style w:type="character" w:customStyle="1" w:styleId="Small">
    <w:name w:val="Small"/>
    <w:basedOn w:val="DefaultParagraphFont"/>
    <w:rsid w:val="00B62D2C"/>
    <w:rPr>
      <w:sz w:val="16"/>
    </w:rPr>
  </w:style>
  <w:style w:type="paragraph" w:customStyle="1" w:styleId="WideTable">
    <w:name w:val="Wide Table"/>
    <w:basedOn w:val="Normal"/>
    <w:rsid w:val="00B62D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D2C"/>
  </w:style>
  <w:style w:type="paragraph" w:styleId="Quote">
    <w:name w:val="Quote"/>
    <w:basedOn w:val="Heading1"/>
    <w:link w:val="QuoteChar"/>
    <w:qFormat/>
    <w:rsid w:val="00B62D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D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D2C"/>
    <w:pPr>
      <w:pageBreakBefore/>
    </w:pPr>
  </w:style>
  <w:style w:type="paragraph" w:customStyle="1" w:styleId="Border">
    <w:name w:val="Border"/>
    <w:basedOn w:val="Normal"/>
    <w:qFormat/>
    <w:rsid w:val="00B62D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D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D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D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D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D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D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D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D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D2C"/>
    <w:rPr>
      <w:u w:val="single"/>
    </w:rPr>
  </w:style>
  <w:style w:type="character" w:customStyle="1" w:styleId="BoldandItalics">
    <w:name w:val="Bold and Italics"/>
    <w:qFormat/>
    <w:rsid w:val="00B62D2C"/>
    <w:rPr>
      <w:b/>
      <w:i/>
      <w:u w:val="none"/>
    </w:rPr>
  </w:style>
  <w:style w:type="paragraph" w:styleId="BalloonText">
    <w:name w:val="Balloon Text"/>
    <w:basedOn w:val="Normal"/>
    <w:link w:val="BalloonTextChar"/>
    <w:rsid w:val="00B62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D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D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D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D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D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D2C"/>
    <w:pPr>
      <w:spacing w:before="0" w:after="0"/>
    </w:pPr>
  </w:style>
  <w:style w:type="paragraph" w:customStyle="1" w:styleId="BodyTextBold">
    <w:name w:val="Body Text Bold"/>
    <w:basedOn w:val="BodyText"/>
    <w:qFormat/>
    <w:rsid w:val="00B62D2C"/>
    <w:rPr>
      <w:b/>
    </w:rPr>
  </w:style>
  <w:style w:type="character" w:styleId="Hyperlink">
    <w:name w:val="Hyperlink"/>
    <w:basedOn w:val="DefaultParagraphFont"/>
    <w:uiPriority w:val="99"/>
    <w:unhideWhenUsed/>
    <w:rsid w:val="00E134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4378</Characters>
  <Application>Microsoft Office Word</Application>
  <DocSecurity>0</DocSecurity>
  <Lines>91</Lines>
  <Paragraphs>49</Paragraphs>
  <ScaleCrop>false</ScaleCrop>
  <Company>Author-it Software Corporation Ltd.</Company>
  <LinksUpToDate>false</LinksUpToDate>
  <CharactersWithSpaces>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UETTDRDS56 Design power system transmission, sub-transmission &amp; zone substation civil &amp; structural components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2021-03-24T00:15:00Z</dcterms:created>
  <dcterms:modified xsi:type="dcterms:W3CDTF">2021-03-24T00:15:00Z</dcterms:modified>
</cp:coreProperties>
</file>