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65" w:rsidP="005B3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UETTDRDS47 Review power system asset management strategies</w:t>
      </w:r>
      <w:r>
        <w:fldChar w:fldCharType="end"/>
      </w:r>
    </w:p>
    <w:p w:rsidR="005B3065" w:rsidP="005B3065">
      <w:pPr>
        <w:pStyle w:val="Version"/>
        <w:sectPr w:rsidSect="00573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0EA" w:rsidP="005730EA">
      <w:pPr>
        <w:pStyle w:val="SuperHeading"/>
      </w:pPr>
      <w:r w:rsidRPr="005730EA">
        <w:t>Assessment Requirements for UETTDRDS47 Review power system asset management strategies</w:t>
      </w:r>
    </w:p>
    <w:p w:rsidR="00000000" w:rsidRPr="005730EA" w:rsidP="005730EA">
      <w:pPr>
        <w:pStyle w:val="Heading1"/>
      </w:pPr>
      <w:bookmarkStart w:id="1" w:name="O_1002633"/>
      <w:bookmarkEnd w:id="1"/>
      <w:r w:rsidRPr="005730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EA" w:rsidP="005730EA">
            <w:pPr>
              <w:pStyle w:val="BodyText"/>
            </w:pPr>
            <w:r w:rsidRPr="005730E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730EA" w:rsidP="005730EA">
      <w:pPr>
        <w:pStyle w:val="NoPaddingFontSize1"/>
      </w:pPr>
    </w:p>
    <w:p w:rsidR="00000000" w:rsidRPr="005730EA" w:rsidP="005730EA">
      <w:pPr>
        <w:pStyle w:val="AllowPageBreak"/>
      </w:pPr>
    </w:p>
    <w:p w:rsidR="00000000" w:rsidRPr="005730EA" w:rsidP="005730EA">
      <w:pPr>
        <w:pStyle w:val="Heading1"/>
      </w:pPr>
      <w:bookmarkStart w:id="2" w:name="O_1002634"/>
      <w:bookmarkEnd w:id="2"/>
      <w:r w:rsidRPr="005730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EA">
            <w:pPr>
              <w:pStyle w:val="BodyText"/>
              <w:rPr>
                <w:lang w:val="en-NZ"/>
              </w:rPr>
            </w:pPr>
            <w:r w:rsidRPr="005730EA">
              <w:t>Evidence required to demonstrate competence in this unit must be relevant to a</w:t>
            </w:r>
            <w:r w:rsidRPr="005730EA">
              <w:t xml:space="preserve">nd satisfy all of the requirements of the elements and performance criteria on at least two separate occasions and include:  </w:t>
            </w:r>
          </w:p>
        </w:tc>
      </w:tr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EA" w:rsidP="005730EA">
            <w:pPr>
              <w:pStyle w:val="ListBullet"/>
            </w:pPr>
            <w:r w:rsidRPr="005730EA">
              <w:t>applying relevant work health and safety (WHS)/occupational health and safety (OHS) requirements including the use of risk contr</w:t>
            </w:r>
            <w:r w:rsidRPr="005730EA">
              <w:t>ol measures</w:t>
            </w:r>
          </w:p>
          <w:p w:rsidR="00000000" w:rsidRPr="005730EA" w:rsidP="005730EA">
            <w:pPr>
              <w:pStyle w:val="ListBullet"/>
            </w:pPr>
            <w:r w:rsidRPr="005730EA">
              <w:t>applying sustainable energy principles and practices</w:t>
            </w:r>
          </w:p>
          <w:p w:rsidR="00000000" w:rsidRPr="005730EA" w:rsidP="005730EA">
            <w:pPr>
              <w:pStyle w:val="ListBullet"/>
            </w:pPr>
            <w:r w:rsidRPr="005730EA">
              <w:t>correctly interpreting three (3) existing maintenance strategies or policies that relate to electrical network components of the following types:</w:t>
            </w:r>
          </w:p>
          <w:p w:rsidR="00000000" w:rsidRPr="005730EA" w:rsidP="005730EA">
            <w:pPr>
              <w:pStyle w:val="ListBullet2"/>
            </w:pPr>
            <w:r w:rsidRPr="005730EA">
              <w:t>lines</w:t>
            </w:r>
          </w:p>
          <w:p w:rsidR="00000000" w:rsidRPr="005730EA" w:rsidP="005730EA">
            <w:pPr>
              <w:pStyle w:val="ListBullet2"/>
            </w:pPr>
            <w:r w:rsidRPr="005730EA">
              <w:t>substation primary plant</w:t>
            </w:r>
          </w:p>
          <w:p w:rsidR="00000000" w:rsidRPr="005730EA" w:rsidP="005730EA">
            <w:pPr>
              <w:pStyle w:val="ListBullet2"/>
            </w:pPr>
            <w:r w:rsidRPr="005730EA">
              <w:t>substation secondary equipment</w:t>
            </w:r>
          </w:p>
          <w:p w:rsidR="00000000" w:rsidRPr="005730EA" w:rsidP="005730EA">
            <w:pPr>
              <w:pStyle w:val="ListBullet2"/>
            </w:pPr>
            <w:r w:rsidRPr="005730EA">
              <w:t>public lighting</w:t>
            </w:r>
          </w:p>
          <w:p w:rsidR="00000000" w:rsidRPr="005730EA" w:rsidP="005730EA">
            <w:pPr>
              <w:pStyle w:val="ListBullet"/>
            </w:pPr>
            <w:r w:rsidRPr="005730EA">
              <w:t>preparing three (3) maintenance strategies or policies that relate to electrical network components of the following types:</w:t>
            </w:r>
          </w:p>
          <w:p w:rsidR="00000000" w:rsidRPr="005730EA" w:rsidP="005730EA">
            <w:pPr>
              <w:pStyle w:val="ListBullet2"/>
            </w:pPr>
            <w:r w:rsidRPr="005730EA">
              <w:t>lines</w:t>
            </w:r>
          </w:p>
          <w:p w:rsidR="00000000" w:rsidRPr="005730EA" w:rsidP="005730EA">
            <w:pPr>
              <w:pStyle w:val="ListBullet2"/>
            </w:pPr>
            <w:r w:rsidRPr="005730EA">
              <w:t>substation primary plant</w:t>
            </w:r>
          </w:p>
          <w:p w:rsidR="00000000" w:rsidRPr="005730EA" w:rsidP="005730EA">
            <w:pPr>
              <w:pStyle w:val="ListBullet2"/>
            </w:pPr>
            <w:r w:rsidRPr="005730EA">
              <w:t>substation secondary equipment</w:t>
            </w:r>
          </w:p>
          <w:p w:rsidR="00000000" w:rsidRPr="005730EA" w:rsidP="005730EA">
            <w:pPr>
              <w:pStyle w:val="ListBullet2"/>
            </w:pPr>
            <w:r w:rsidRPr="005730EA">
              <w:t>public lighting</w:t>
            </w:r>
          </w:p>
          <w:p w:rsidR="00000000" w:rsidRPr="005730EA" w:rsidP="005730EA">
            <w:pPr>
              <w:pStyle w:val="ListBullet"/>
            </w:pPr>
            <w:r w:rsidRPr="005730EA">
              <w:t>deal</w:t>
            </w:r>
            <w:r w:rsidRPr="005730EA">
              <w:t>ing with unplanned events on at least one (1) occasion.</w:t>
            </w:r>
          </w:p>
        </w:tc>
      </w:tr>
    </w:tbl>
    <w:p w:rsidR="00000000" w:rsidRPr="005730EA" w:rsidP="005730EA">
      <w:pPr>
        <w:pStyle w:val="NoPaddingFontSize1"/>
      </w:pPr>
    </w:p>
    <w:p w:rsidR="00000000" w:rsidRPr="005730EA" w:rsidP="005730EA">
      <w:pPr>
        <w:pStyle w:val="AllowPageBreak"/>
      </w:pPr>
    </w:p>
    <w:p w:rsidR="00000000" w:rsidRPr="005730EA" w:rsidP="005730EA">
      <w:pPr>
        <w:pStyle w:val="Heading1"/>
      </w:pPr>
      <w:bookmarkStart w:id="3" w:name="O_1002635"/>
      <w:bookmarkEnd w:id="3"/>
      <w:r w:rsidRPr="005730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EA">
            <w:pPr>
              <w:pStyle w:val="BodyText"/>
              <w:rPr>
                <w:lang w:val="en-NZ"/>
              </w:rPr>
            </w:pPr>
            <w:r w:rsidRPr="005730EA">
              <w:t xml:space="preserve">Evidence required to demonstrate competence in this unit must be relevant to and satisfy all of the requirements of the elements and performance </w:t>
            </w:r>
            <w:r w:rsidRPr="005730EA">
              <w:t>criteria and include knowledge of:</w:t>
            </w:r>
          </w:p>
        </w:tc>
      </w:tr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EA" w:rsidP="005730EA">
            <w:pPr>
              <w:pStyle w:val="ListBullet"/>
            </w:pPr>
            <w:r w:rsidRPr="005730EA">
              <w:t>principles of safe design encompassing:</w:t>
            </w:r>
          </w:p>
          <w:p w:rsidR="00000000" w:rsidRPr="005730EA" w:rsidP="005730EA">
            <w:pPr>
              <w:pStyle w:val="ListBullet2"/>
            </w:pPr>
            <w:r w:rsidRPr="005730EA">
              <w:t>Commonwealth/state/territory legislation, standards, codes, supply authority regulations and/or enterprise requirements associated with safe design principles</w:t>
            </w:r>
          </w:p>
          <w:p w:rsidR="00000000" w:rsidRPr="005730EA" w:rsidP="005730EA">
            <w:pPr>
              <w:pStyle w:val="ListBullet2"/>
            </w:pPr>
            <w:r w:rsidRPr="005730EA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5730EA" w:rsidP="005730EA">
            <w:pPr>
              <w:pStyle w:val="ListBullet2"/>
            </w:pPr>
            <w:r w:rsidRPr="005730EA">
              <w:t>application of safe design principles - safe design duty related informa</w:t>
            </w:r>
            <w:r w:rsidRPr="005730EA">
              <w:t xml:space="preserve">tion, safe design </w:t>
            </w:r>
            <w:r w:rsidRPr="005730EA">
              <w:t>process related information and safe design evaluations</w:t>
            </w:r>
          </w:p>
          <w:p w:rsidR="00000000" w:rsidRPr="005730EA" w:rsidP="005730EA">
            <w:pPr>
              <w:pStyle w:val="ListBullet"/>
            </w:pPr>
            <w:r w:rsidRPr="005730EA">
              <w:t>enterprise-specific data management processes encompassing:</w:t>
            </w:r>
          </w:p>
          <w:p w:rsidR="00000000" w:rsidRPr="005730EA" w:rsidP="005730EA">
            <w:pPr>
              <w:pStyle w:val="ListBullet2"/>
            </w:pPr>
            <w:r w:rsidRPr="005730EA">
              <w:t>standards, codes, legislation, supply authority regulations and/or enterprise requirements applicable to data management</w:t>
            </w:r>
          </w:p>
          <w:p w:rsidR="00000000" w:rsidRPr="005730EA" w:rsidP="005730EA">
            <w:pPr>
              <w:pStyle w:val="ListBullet2"/>
            </w:pPr>
            <w:r w:rsidRPr="005730EA">
              <w:t>requirements for the use of manuals, substation diagrams/plans and drawings</w:t>
            </w:r>
          </w:p>
          <w:p w:rsidR="00000000" w:rsidRPr="005730EA" w:rsidP="005730EA">
            <w:pPr>
              <w:pStyle w:val="ListBullet2"/>
            </w:pPr>
            <w:r w:rsidRPr="005730EA">
              <w:t>types of enterprise-specific computer software</w:t>
            </w:r>
          </w:p>
          <w:p w:rsidR="00000000" w:rsidRPr="005730EA" w:rsidP="005730EA">
            <w:pPr>
              <w:pStyle w:val="ListBullet2"/>
            </w:pPr>
            <w:r w:rsidRPr="005730EA">
              <w:t>techniques in storing and retrieving data and reports from the computer</w:t>
            </w:r>
          </w:p>
          <w:p w:rsidR="00000000" w:rsidRPr="005730EA" w:rsidP="005730EA">
            <w:pPr>
              <w:pStyle w:val="ListBullet2"/>
            </w:pPr>
            <w:r w:rsidRPr="005730EA">
              <w:t>techniques in using the data management systems in following</w:t>
            </w:r>
            <w:r w:rsidRPr="005730EA">
              <w:t xml:space="preserve"> necessary commands and protocols in accordance with the enterprise-specific procedures</w:t>
            </w:r>
          </w:p>
          <w:p w:rsidR="00000000" w:rsidRPr="005730EA" w:rsidP="005730EA">
            <w:pPr>
              <w:pStyle w:val="ListBullet2"/>
            </w:pPr>
            <w:r w:rsidRPr="005730EA">
              <w:t>calculation of results and data measurements using the computer</w:t>
            </w:r>
          </w:p>
          <w:p w:rsidR="00000000" w:rsidRPr="005730EA" w:rsidP="005730EA">
            <w:pPr>
              <w:pStyle w:val="ListBullet2"/>
            </w:pPr>
            <w:r w:rsidRPr="005730EA">
              <w:t>techniques in the preparation of preliminary works creation and closure</w:t>
            </w:r>
          </w:p>
          <w:p w:rsidR="00000000" w:rsidRPr="005730EA" w:rsidP="005730EA">
            <w:pPr>
              <w:pStyle w:val="ListBullet"/>
            </w:pPr>
            <w:r w:rsidRPr="005730EA">
              <w:t>effective management and commun</w:t>
            </w:r>
            <w:r w:rsidRPr="005730EA">
              <w:t>ication encompassing:</w:t>
            </w:r>
          </w:p>
          <w:p w:rsidR="00000000" w:rsidRPr="005730EA" w:rsidP="005730EA">
            <w:pPr>
              <w:pStyle w:val="ListBullet2"/>
            </w:pPr>
            <w:r w:rsidRPr="005730EA">
              <w:t>Commonwealth, state/territory and local government legislation, standards, codes, supply authority regulations and/or enterprise requirements applicable to assisting in effective management and communication</w:t>
            </w:r>
          </w:p>
          <w:p w:rsidR="00000000" w:rsidRPr="005730EA" w:rsidP="005730EA">
            <w:pPr>
              <w:pStyle w:val="ListBullet2"/>
            </w:pPr>
            <w:r w:rsidRPr="005730EA">
              <w:t>enterprise operational pr</w:t>
            </w:r>
            <w:r w:rsidRPr="005730EA">
              <w:t>inciples - workplace WHS/OHS enterprise plan, environmental enterprise policies and procedures, industrial relations policies and procedures and anti-discrimination policies and procedures</w:t>
            </w:r>
          </w:p>
          <w:p w:rsidR="00000000" w:rsidRPr="005730EA" w:rsidP="005730EA">
            <w:pPr>
              <w:pStyle w:val="ListBullet2"/>
            </w:pPr>
            <w:r w:rsidRPr="005730EA">
              <w:t>relationship between the management and employees - methods used to</w:t>
            </w:r>
            <w:r w:rsidRPr="005730EA">
              <w:t xml:space="preserve"> collate and distribute/disseminate information, responsibilities of each member of the work team, staff development activities and legislation requirements with regard to WHS/OHS training, methods of addressing barriers such as literacy and cultural diffe</w:t>
            </w:r>
            <w:r w:rsidRPr="005730EA">
              <w:t>rences, and provisions relating to WHS/OHS issue resolution</w:t>
            </w:r>
          </w:p>
          <w:p w:rsidR="00000000" w:rsidRPr="005730EA" w:rsidP="005730EA">
            <w:pPr>
              <w:pStyle w:val="ListBullet2"/>
            </w:pPr>
            <w:r w:rsidRPr="005730EA">
              <w:t>techniques associated with organisational policies and procedures related to human resources - relevant awards and certified agreements, legislation impacting on people management and range of support services and expertise available</w:t>
            </w:r>
          </w:p>
          <w:p w:rsidR="00000000" w:rsidRPr="005730EA" w:rsidP="005730EA">
            <w:pPr>
              <w:pStyle w:val="ListBullet2"/>
            </w:pPr>
            <w:r w:rsidRPr="005730EA">
              <w:t>techniques in managing</w:t>
            </w:r>
            <w:r w:rsidRPr="005730EA">
              <w:t xml:space="preserve"> relationships - identifying problems and methods of conflict resolution, methods of consultation, communication, negotiation and mentoring, and strategies for positive feedback</w:t>
            </w:r>
          </w:p>
          <w:p w:rsidR="00000000" w:rsidRPr="005730EA" w:rsidP="005730EA">
            <w:pPr>
              <w:pStyle w:val="ListBullet2"/>
            </w:pPr>
            <w:r w:rsidRPr="005730EA">
              <w:t>techniques in leadership in achieving enterprise strategic and operational pla</w:t>
            </w:r>
            <w:r w:rsidRPr="005730EA">
              <w:t>ns</w:t>
            </w:r>
          </w:p>
          <w:p w:rsidR="00000000" w:rsidRPr="005730EA" w:rsidP="005730EA">
            <w:pPr>
              <w:pStyle w:val="ListBullet2"/>
            </w:pPr>
            <w:r w:rsidRPr="005730EA">
              <w:t>techniques in managing relationships under stress - stress management</w:t>
            </w:r>
          </w:p>
          <w:p w:rsidR="00000000" w:rsidRPr="005730EA" w:rsidP="005730EA">
            <w:pPr>
              <w:pStyle w:val="ListBullet"/>
            </w:pPr>
            <w:r w:rsidRPr="005730EA">
              <w:t>methodology used in writing enterprise-specific management reports encompassing:</w:t>
            </w:r>
          </w:p>
          <w:p w:rsidR="00000000" w:rsidRPr="005730EA" w:rsidP="005730EA">
            <w:pPr>
              <w:pStyle w:val="ListBullet2"/>
            </w:pPr>
            <w:r w:rsidRPr="005730EA">
              <w:t>Commonwealth, state/territory and local government legislation, supply authority regulations, standa</w:t>
            </w:r>
            <w:r w:rsidRPr="005730EA">
              <w:t>rds, codes and/or enterprise requirements applicable to the writing enterprise-specific management reports</w:t>
            </w:r>
          </w:p>
          <w:p w:rsidR="00000000" w:rsidRPr="005730EA" w:rsidP="005730EA">
            <w:pPr>
              <w:pStyle w:val="ListBullet2"/>
            </w:pPr>
            <w:r w:rsidRPr="005730EA">
              <w:t>techniques in researching, collating and analysing information for the report - recording, filing, retrieving systems and storing and retrieving data</w:t>
            </w:r>
            <w:r w:rsidRPr="005730EA">
              <w:t xml:space="preserve"> from computer systems</w:t>
            </w:r>
          </w:p>
          <w:p w:rsidR="00000000" w:rsidRPr="005730EA" w:rsidP="005730EA">
            <w:pPr>
              <w:pStyle w:val="ListBullet2"/>
            </w:pPr>
            <w:r w:rsidRPr="005730EA">
              <w:t xml:space="preserve">relationship of management reports to enterprise policies and procedures - enterprise structure and resources, workplace WHS/OHS and risk management, enterprise data, financial and operational data, environmental enterprise policies </w:t>
            </w:r>
            <w:r w:rsidRPr="005730EA">
              <w:t>and procedures, industrial relations policies and procedures, and anti-discrimination policies and procedures</w:t>
            </w:r>
          </w:p>
          <w:p w:rsidR="00000000" w:rsidRPr="005730EA" w:rsidP="005730EA">
            <w:pPr>
              <w:pStyle w:val="ListBullet"/>
            </w:pPr>
            <w:r w:rsidRPr="005730EA">
              <w:t>power distribution network documentation encompassing:</w:t>
            </w:r>
          </w:p>
          <w:p w:rsidR="00000000" w:rsidRPr="005730EA" w:rsidP="005730EA">
            <w:pPr>
              <w:pStyle w:val="ListBullet2"/>
            </w:pPr>
            <w:r w:rsidRPr="005730EA">
              <w:t>requirements for the use of manuals, system diagrams/plans and drawings and for plans suc</w:t>
            </w:r>
            <w:r w:rsidRPr="005730EA">
              <w:t>h as work method statements for the control of WHS/OHS risks</w:t>
            </w:r>
          </w:p>
          <w:p w:rsidR="00000000" w:rsidRPr="005730EA" w:rsidP="005730EA">
            <w:pPr>
              <w:pStyle w:val="ListBullet2"/>
            </w:pPr>
            <w:r w:rsidRPr="005730EA">
              <w:t>types and application of power distribution network documentation drawings and documents - wiring and schematic diagrams, drawings and switching symbols, mechanical drawings dealing with the powe</w:t>
            </w:r>
            <w:r w:rsidRPr="005730EA">
              <w:t xml:space="preserve">r distribution network, project charts, schedules, graphs, technical manuals and catalogues, and instructions/worksheets </w:t>
            </w:r>
          </w:p>
          <w:p w:rsidR="00000000" w:rsidRPr="005730EA" w:rsidP="005730EA">
            <w:pPr>
              <w:pStyle w:val="ListBullet2"/>
            </w:pPr>
            <w:r w:rsidRPr="005730EA">
              <w:t>interpretation of different diagrams and documentation on low voltage (LV) and high voltage (HV) systems - overhead distribution exten</w:t>
            </w:r>
            <w:r w:rsidRPr="005730EA">
              <w:t>sions, underground distribution extensions, distribution substations and street lighting systems</w:t>
            </w:r>
          </w:p>
          <w:p w:rsidR="00000000" w:rsidRPr="005730EA" w:rsidP="005730EA">
            <w:pPr>
              <w:pStyle w:val="ListBullet"/>
            </w:pPr>
            <w:r w:rsidRPr="005730EA">
              <w:t>layout principles for overhead distribution encompassing:</w:t>
            </w:r>
          </w:p>
          <w:p w:rsidR="00000000" w:rsidRPr="005730EA" w:rsidP="005730EA">
            <w:pPr>
              <w:pStyle w:val="ListBullet2"/>
            </w:pPr>
            <w:r w:rsidRPr="005730EA">
              <w:t xml:space="preserve">Commonwealth, state/territory and local government legislation, standards, codes, supply authority </w:t>
            </w:r>
            <w:r w:rsidRPr="005730EA">
              <w:t>regulations and/or enterprise requirements applicable to overhead distribution layout</w:t>
            </w:r>
          </w:p>
          <w:p w:rsidR="00000000" w:rsidRPr="005730EA" w:rsidP="005730EA">
            <w:pPr>
              <w:pStyle w:val="ListBullet2"/>
            </w:pPr>
            <w:r w:rsidRPr="005730EA">
              <w:t>requirements for the use of overhead line construction manuals, system diagrams/plans and drawings and for plans such as work method statements for the control of WHS/OHS risks</w:t>
            </w:r>
          </w:p>
          <w:p w:rsidR="00000000" w:rsidRPr="005730EA" w:rsidP="005730EA">
            <w:pPr>
              <w:pStyle w:val="ListBullet2"/>
            </w:pPr>
            <w:r w:rsidRPr="005730EA">
              <w:t>methods in determining material, equipment and tool lists - components types an</w:t>
            </w:r>
            <w:r w:rsidRPr="005730EA">
              <w:t>d quantity required, spacing of components such as equipment, poles, cross-arms, and costings of items and components</w:t>
            </w:r>
          </w:p>
          <w:p w:rsidR="00000000" w:rsidRPr="005730EA" w:rsidP="005730EA">
            <w:pPr>
              <w:pStyle w:val="ListBullet2"/>
            </w:pPr>
            <w:r w:rsidRPr="005730EA">
              <w:t xml:space="preserve">purchasing and contractual arrangements, including requirements to eliminate WHS/OHS hazards, minimise risks and provide residual WHS/OHS </w:t>
            </w:r>
            <w:r w:rsidRPr="005730EA">
              <w:t>risk information</w:t>
            </w:r>
          </w:p>
          <w:p w:rsidR="00000000" w:rsidRPr="005730EA" w:rsidP="005730EA">
            <w:pPr>
              <w:pStyle w:val="ListBullet"/>
            </w:pPr>
            <w:r w:rsidRPr="005730EA">
              <w:t>determination of conductor size, type and route length encompassing:</w:t>
            </w:r>
          </w:p>
          <w:p w:rsidR="00000000" w:rsidRPr="005730EA" w:rsidP="005730EA">
            <w:pPr>
              <w:pStyle w:val="ListBullet2"/>
            </w:pPr>
            <w:r w:rsidRPr="005730EA">
              <w:t>resources needed for the stringing and maintenance of conductors</w:t>
            </w:r>
          </w:p>
          <w:p w:rsidR="00000000" w:rsidRPr="005730EA" w:rsidP="005730EA">
            <w:pPr>
              <w:pStyle w:val="ListBullet2"/>
            </w:pPr>
            <w:r w:rsidRPr="005730EA">
              <w:t>types of low LV and HV overhead electrical conductor connections</w:t>
            </w:r>
          </w:p>
          <w:p w:rsidR="00000000" w:rsidRPr="005730EA" w:rsidP="005730EA">
            <w:pPr>
              <w:pStyle w:val="ListBullet2"/>
            </w:pPr>
            <w:r w:rsidRPr="005730EA">
              <w:t>minimum clearances between overhead co</w:t>
            </w:r>
            <w:r w:rsidRPr="005730EA">
              <w:t>nductors and low LV and/HV structures</w:t>
            </w:r>
          </w:p>
          <w:p w:rsidR="00000000" w:rsidRPr="005730EA" w:rsidP="005730EA">
            <w:pPr>
              <w:pStyle w:val="ListBullet2"/>
            </w:pPr>
            <w:r w:rsidRPr="005730EA">
              <w:t>estimation of the duration of overhead distribution extension project.</w:t>
            </w:r>
          </w:p>
        </w:tc>
      </w:tr>
    </w:tbl>
    <w:p w:rsidR="00000000" w:rsidRPr="005730EA" w:rsidP="005730EA">
      <w:pPr>
        <w:pStyle w:val="NoPaddingFontSize1"/>
      </w:pPr>
    </w:p>
    <w:p w:rsidR="00000000" w:rsidRPr="005730EA" w:rsidP="005730EA">
      <w:pPr>
        <w:pStyle w:val="AllowPageBreak"/>
      </w:pPr>
    </w:p>
    <w:p w:rsidR="00000000" w:rsidRPr="005730EA" w:rsidP="005730EA">
      <w:pPr>
        <w:pStyle w:val="Heading1"/>
      </w:pPr>
      <w:bookmarkStart w:id="4" w:name="O_1002636"/>
      <w:bookmarkEnd w:id="4"/>
      <w:r w:rsidRPr="005730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0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EA" w:rsidP="005730EA">
            <w:pPr>
              <w:pStyle w:val="BodyText"/>
            </w:pPr>
            <w:r w:rsidRPr="005730EA">
              <w:t>Assessors must hold credentials specified within the Standards for Registered Training Organisations current at the time of assessment.</w:t>
            </w:r>
          </w:p>
          <w:p w:rsidR="00000000" w:rsidRPr="005730EA" w:rsidP="005730EA">
            <w:pPr>
              <w:pStyle w:val="BodyText"/>
            </w:pPr>
            <w:r w:rsidRPr="005730EA">
              <w:t>Assessment must satisfy the Principles of Assessment and Rules of Evidence and all regulatory requirements included with</w:t>
            </w:r>
            <w:r w:rsidRPr="005730EA">
              <w:t>in the Standards for Registered Training Organisations current at the time of assessment.</w:t>
            </w:r>
          </w:p>
          <w:p w:rsidR="00000000" w:rsidRPr="005730EA" w:rsidP="005730EA">
            <w:pPr>
              <w:pStyle w:val="BodyText"/>
            </w:pPr>
            <w:r w:rsidRPr="005730EA">
              <w:t>Assessment must occur in workplace operational situations where it is appropriate to do so; where this is not appropriate, assessment must occur in simulated conditio</w:t>
            </w:r>
            <w:r w:rsidRPr="005730EA">
              <w:t>ns involving realistic and authentic activities that replicate operational workplace conditions.</w:t>
            </w:r>
          </w:p>
          <w:p w:rsidR="00000000" w:rsidRPr="005730EA" w:rsidP="005730EA">
            <w:pPr>
              <w:pStyle w:val="BodyText"/>
            </w:pPr>
            <w:r w:rsidRPr="005730EA">
              <w:t>Assessment processes and techniques must be appropriate to the language, literacy and numeracy requirements of the work being performed and the needs of the ca</w:t>
            </w:r>
            <w:r w:rsidRPr="005730EA">
              <w:t>ndidate.</w:t>
            </w:r>
          </w:p>
          <w:p w:rsidR="00000000" w:rsidRPr="005730EA" w:rsidP="005730EA">
            <w:pPr>
              <w:pStyle w:val="BodyText"/>
            </w:pPr>
            <w:r w:rsidRPr="005730EA">
              <w:t>Resources for assessment must include access to:</w:t>
            </w:r>
          </w:p>
          <w:p w:rsidR="00000000" w:rsidRPr="005730EA" w:rsidP="005730EA">
            <w:pPr>
              <w:pStyle w:val="ListBullet"/>
            </w:pPr>
            <w:r w:rsidRPr="005730EA">
              <w:t>a range of relevant exercises, case studies and/or other simulations</w:t>
            </w:r>
          </w:p>
          <w:p w:rsidR="00000000" w:rsidRPr="005730EA" w:rsidP="005730EA">
            <w:pPr>
              <w:pStyle w:val="ListBullet"/>
            </w:pPr>
            <w:r w:rsidRPr="005730EA">
              <w:t>relevant and appropriate materials, tools, facilities, equipment and personal protective equipment (PPE) currently used in indus</w:t>
            </w:r>
            <w:r w:rsidRPr="005730EA">
              <w:t>try to perform a review of asset management strategies</w:t>
            </w:r>
          </w:p>
          <w:p w:rsidR="00000000" w:rsidRPr="005730EA" w:rsidP="005730EA">
            <w:pPr>
              <w:pStyle w:val="ListBullet"/>
            </w:pPr>
            <w:r w:rsidRPr="005730EA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5730EA" w:rsidP="005730EA">
      <w:pPr>
        <w:pStyle w:val="NoPaddingFontSize1"/>
      </w:pPr>
    </w:p>
    <w:p w:rsidR="00000000" w:rsidRPr="005730EA" w:rsidP="005730EA">
      <w:pPr>
        <w:pStyle w:val="AllowPageBreak"/>
      </w:pPr>
    </w:p>
    <w:p w:rsidR="00000000" w:rsidRPr="005730EA" w:rsidP="005730EA">
      <w:pPr>
        <w:pStyle w:val="Heading1"/>
      </w:pPr>
      <w:bookmarkStart w:id="5" w:name="O_1002639"/>
      <w:bookmarkEnd w:id="5"/>
      <w:r w:rsidRPr="005730EA">
        <w:t>Links</w:t>
      </w:r>
    </w:p>
    <w:p w:rsidR="00000000" w:rsidRPr="005730EA" w:rsidP="005B3065">
      <w:pPr>
        <w:pStyle w:val="BodyText"/>
      </w:pPr>
      <w:r w:rsidRPr="005730E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60DD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30EA" w:rsidP="005730EA"/>
    <w:sectPr w:rsidSect="005730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EA" w:rsidRPr="005B3065" w:rsidP="005B3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65" w:rsidP="00573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065" w:rsidP="00573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3065" w:rsidP="00573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0EA" w:rsidRPr="005B3065" w:rsidP="005B3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65" w:rsidRPr="002D2AF8" w:rsidP="00573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UETTDRDS47 Review power system asset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5B3065" w:rsidP="00573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8C1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EA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8D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0EA"/>
  </w:style>
  <w:style w:type="character" w:customStyle="1" w:styleId="Heading1Char">
    <w:name w:val="Heading 1 Char"/>
    <w:basedOn w:val="DefaultParagraphFont"/>
    <w:link w:val="Heading1"/>
    <w:rsid w:val="00573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0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0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0EA"/>
    <w:rPr>
      <w:b/>
      <w:spacing w:val="0"/>
    </w:rPr>
  </w:style>
  <w:style w:type="paragraph" w:customStyle="1" w:styleId="SuperTitle">
    <w:name w:val="SuperTitle"/>
    <w:basedOn w:val="Title"/>
    <w:rsid w:val="00573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0EA"/>
    <w:rPr>
      <w:i/>
    </w:rPr>
  </w:style>
  <w:style w:type="paragraph" w:styleId="Caption">
    <w:name w:val="caption"/>
    <w:basedOn w:val="BodyText"/>
    <w:next w:val="Normal"/>
    <w:qFormat/>
    <w:rsid w:val="00573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0EA"/>
  </w:style>
  <w:style w:type="paragraph" w:styleId="TableofFigures">
    <w:name w:val="table of figures"/>
    <w:basedOn w:val="Normal"/>
    <w:next w:val="Normal"/>
    <w:semiHidden/>
    <w:rsid w:val="00573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0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0EA"/>
    <w:rPr>
      <w:rFonts w:ascii="Wingdings" w:hAnsi="Wingdings"/>
    </w:rPr>
  </w:style>
  <w:style w:type="paragraph" w:customStyle="1" w:styleId="TableHeading">
    <w:name w:val="Table Heading"/>
    <w:basedOn w:val="HeadingBase"/>
    <w:rsid w:val="00573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0EA"/>
    <w:rPr>
      <w:color w:val="0033CC"/>
      <w:u w:val="none"/>
    </w:rPr>
  </w:style>
  <w:style w:type="paragraph" w:customStyle="1" w:styleId="BodyTextRight">
    <w:name w:val="Body Text Right"/>
    <w:basedOn w:val="BodyText"/>
    <w:rsid w:val="00573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0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0EA"/>
    <w:rPr>
      <w:sz w:val="32"/>
    </w:rPr>
  </w:style>
  <w:style w:type="paragraph" w:customStyle="1" w:styleId="HeadingProcedure">
    <w:name w:val="Heading Procedure"/>
    <w:basedOn w:val="HeadingBase"/>
    <w:next w:val="Normal"/>
    <w:rsid w:val="00573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0EA"/>
    <w:pPr>
      <w:spacing w:before="60" w:after="60"/>
    </w:pPr>
  </w:style>
  <w:style w:type="paragraph" w:styleId="ListContinue">
    <w:name w:val="List Continue"/>
    <w:basedOn w:val="List"/>
    <w:rsid w:val="005730EA"/>
    <w:pPr>
      <w:ind w:firstLine="0"/>
    </w:pPr>
  </w:style>
  <w:style w:type="paragraph" w:customStyle="1" w:styleId="ListNote">
    <w:name w:val="List Note"/>
    <w:basedOn w:val="List"/>
    <w:rsid w:val="00573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0EA"/>
    <w:rPr>
      <w:rFonts w:ascii="Courier New" w:hAnsi="Courier New"/>
    </w:rPr>
  </w:style>
  <w:style w:type="paragraph" w:customStyle="1" w:styleId="NoteBullet">
    <w:name w:val="Note Bullet"/>
    <w:basedOn w:val="Note"/>
    <w:rsid w:val="00573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0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0EA"/>
    <w:rPr>
      <w:b/>
      <w:smallCaps/>
    </w:rPr>
  </w:style>
  <w:style w:type="paragraph" w:customStyle="1" w:styleId="TableListNumber">
    <w:name w:val="Table List Number"/>
    <w:basedOn w:val="ListNumber"/>
    <w:rsid w:val="00573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0EA"/>
    <w:pPr>
      <w:numPr>
        <w:numId w:val="9"/>
      </w:numPr>
    </w:pPr>
  </w:style>
  <w:style w:type="paragraph" w:customStyle="1" w:styleId="ListAlpha2">
    <w:name w:val="List Alpha 2"/>
    <w:basedOn w:val="List2"/>
    <w:rsid w:val="005730EA"/>
    <w:pPr>
      <w:numPr>
        <w:numId w:val="8"/>
      </w:numPr>
    </w:pPr>
  </w:style>
  <w:style w:type="paragraph" w:styleId="List2">
    <w:name w:val="List 2"/>
    <w:basedOn w:val="BodyText"/>
    <w:rsid w:val="00573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0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0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0EA"/>
    <w:pPr>
      <w:numPr>
        <w:numId w:val="4"/>
      </w:numPr>
    </w:pPr>
  </w:style>
  <w:style w:type="paragraph" w:styleId="ListContinue2">
    <w:name w:val="List Continue 2"/>
    <w:basedOn w:val="List2"/>
    <w:rsid w:val="005730EA"/>
    <w:pPr>
      <w:ind w:firstLine="0"/>
    </w:pPr>
  </w:style>
  <w:style w:type="paragraph" w:styleId="ListContinue3">
    <w:name w:val="List Continue 3"/>
    <w:basedOn w:val="List3"/>
    <w:rsid w:val="005730EA"/>
    <w:pPr>
      <w:ind w:left="1021" w:firstLine="0"/>
    </w:pPr>
  </w:style>
  <w:style w:type="paragraph" w:styleId="ListContinue4">
    <w:name w:val="List Continue 4"/>
    <w:basedOn w:val="List4"/>
    <w:rsid w:val="005730EA"/>
    <w:pPr>
      <w:ind w:firstLine="0"/>
    </w:pPr>
  </w:style>
  <w:style w:type="paragraph" w:styleId="ListContinue5">
    <w:name w:val="List Continue 5"/>
    <w:basedOn w:val="List5"/>
    <w:rsid w:val="005730EA"/>
    <w:pPr>
      <w:ind w:firstLine="0"/>
    </w:pPr>
  </w:style>
  <w:style w:type="paragraph" w:styleId="ListNumber3">
    <w:name w:val="List Number 3"/>
    <w:basedOn w:val="List3"/>
    <w:rsid w:val="005730EA"/>
    <w:pPr>
      <w:numPr>
        <w:numId w:val="5"/>
      </w:numPr>
    </w:pPr>
  </w:style>
  <w:style w:type="paragraph" w:styleId="ListNumber4">
    <w:name w:val="List Number 4"/>
    <w:basedOn w:val="List4"/>
    <w:rsid w:val="005730EA"/>
    <w:pPr>
      <w:numPr>
        <w:numId w:val="6"/>
      </w:numPr>
    </w:pPr>
  </w:style>
  <w:style w:type="paragraph" w:styleId="ListNumber5">
    <w:name w:val="List Number 5"/>
    <w:basedOn w:val="List5"/>
    <w:rsid w:val="005730EA"/>
    <w:pPr>
      <w:numPr>
        <w:numId w:val="7"/>
      </w:numPr>
    </w:pPr>
  </w:style>
  <w:style w:type="paragraph" w:styleId="BlockText">
    <w:name w:val="Block Text"/>
    <w:basedOn w:val="Normal"/>
    <w:rsid w:val="00573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0EA"/>
    <w:rPr>
      <w:sz w:val="16"/>
      <w:vertAlign w:val="superscript"/>
    </w:rPr>
  </w:style>
  <w:style w:type="character" w:customStyle="1" w:styleId="Symbols">
    <w:name w:val="Symbols"/>
    <w:basedOn w:val="DefaultParagraphFont"/>
    <w:rsid w:val="005730EA"/>
    <w:rPr>
      <w:rFonts w:ascii="Symbol" w:hAnsi="Symbol"/>
    </w:rPr>
  </w:style>
  <w:style w:type="character" w:customStyle="1" w:styleId="MenuOptions">
    <w:name w:val="Menu Options"/>
    <w:basedOn w:val="DefaultParagraphFont"/>
    <w:rsid w:val="00573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0EA"/>
    <w:rPr>
      <w:b/>
    </w:rPr>
  </w:style>
  <w:style w:type="character" w:customStyle="1" w:styleId="Underlined">
    <w:name w:val="Underlined"/>
    <w:basedOn w:val="DefaultParagraphFont"/>
    <w:rsid w:val="005730EA"/>
    <w:rPr>
      <w:u w:val="single"/>
    </w:rPr>
  </w:style>
  <w:style w:type="paragraph" w:customStyle="1" w:styleId="TableBodyTextRight">
    <w:name w:val="Table Body Text Right"/>
    <w:basedOn w:val="TableBodyText"/>
    <w:rsid w:val="00573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0EA"/>
    <w:rPr>
      <w:sz w:val="18"/>
    </w:rPr>
  </w:style>
  <w:style w:type="paragraph" w:customStyle="1" w:styleId="BodySmallRight">
    <w:name w:val="Body Small Right"/>
    <w:basedOn w:val="BodyTextRight"/>
    <w:rsid w:val="005730EA"/>
    <w:rPr>
      <w:sz w:val="18"/>
      <w:szCs w:val="18"/>
    </w:rPr>
  </w:style>
  <w:style w:type="paragraph" w:customStyle="1" w:styleId="MarginEdition">
    <w:name w:val="Margin Edition"/>
    <w:basedOn w:val="MarginNote"/>
    <w:rsid w:val="00573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0EA"/>
    <w:rPr>
      <w:sz w:val="2"/>
      <w:szCs w:val="2"/>
    </w:rPr>
  </w:style>
  <w:style w:type="character" w:customStyle="1" w:styleId="Small">
    <w:name w:val="Small"/>
    <w:basedOn w:val="DefaultParagraphFont"/>
    <w:rsid w:val="005730EA"/>
    <w:rPr>
      <w:sz w:val="16"/>
    </w:rPr>
  </w:style>
  <w:style w:type="paragraph" w:customStyle="1" w:styleId="WideTable">
    <w:name w:val="Wide Table"/>
    <w:basedOn w:val="Normal"/>
    <w:rsid w:val="00573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0EA"/>
  </w:style>
  <w:style w:type="paragraph" w:styleId="Quote">
    <w:name w:val="Quote"/>
    <w:basedOn w:val="Heading1"/>
    <w:link w:val="QuoteChar"/>
    <w:qFormat/>
    <w:rsid w:val="00573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0EA"/>
    <w:pPr>
      <w:pageBreakBefore/>
    </w:pPr>
  </w:style>
  <w:style w:type="paragraph" w:customStyle="1" w:styleId="Border">
    <w:name w:val="Border"/>
    <w:basedOn w:val="Normal"/>
    <w:qFormat/>
    <w:rsid w:val="00573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0EA"/>
    <w:rPr>
      <w:u w:val="single"/>
    </w:rPr>
  </w:style>
  <w:style w:type="character" w:customStyle="1" w:styleId="BoldandItalics">
    <w:name w:val="Bold and Italics"/>
    <w:qFormat/>
    <w:rsid w:val="005730EA"/>
    <w:rPr>
      <w:b/>
      <w:i/>
      <w:u w:val="none"/>
    </w:rPr>
  </w:style>
  <w:style w:type="paragraph" w:styleId="BalloonText">
    <w:name w:val="Balloon Text"/>
    <w:basedOn w:val="Normal"/>
    <w:link w:val="BalloonTextChar"/>
    <w:rsid w:val="00573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0EA"/>
    <w:pPr>
      <w:spacing w:before="0" w:after="0"/>
    </w:pPr>
  </w:style>
  <w:style w:type="paragraph" w:customStyle="1" w:styleId="BodyTextBold">
    <w:name w:val="Body Text Bold"/>
    <w:basedOn w:val="BodyText"/>
    <w:qFormat/>
    <w:rsid w:val="005730EA"/>
    <w:rPr>
      <w:b/>
    </w:rPr>
  </w:style>
  <w:style w:type="character" w:styleId="Hyperlink">
    <w:name w:val="Hyperlink"/>
    <w:basedOn w:val="DefaultParagraphFont"/>
    <w:uiPriority w:val="99"/>
    <w:unhideWhenUsed/>
    <w:rsid w:val="005B3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7328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UETTDRDS47 Review power system asset management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2021-03-24T00:24:00Z</dcterms:created>
  <dcterms:modified xsi:type="dcterms:W3CDTF">2021-03-24T00:24:00Z</dcterms:modified>
</cp:coreProperties>
</file>