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E82" w:rsidP="00913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UETTDRDS46 Develop planned power systems outage strategies</w:t>
      </w:r>
      <w:r>
        <w:fldChar w:fldCharType="end"/>
      </w:r>
    </w:p>
    <w:p w:rsidR="00913E82" w:rsidP="00913E82">
      <w:pPr>
        <w:pStyle w:val="Version"/>
        <w:sectPr w:rsidSect="001C4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0B2" w:rsidP="001C40B2">
      <w:pPr>
        <w:pStyle w:val="SuperHeading"/>
      </w:pPr>
      <w:r w:rsidRPr="001C40B2">
        <w:t>UETTDRDS46 Develop planned power systems outage strategies</w:t>
      </w:r>
    </w:p>
    <w:p w:rsidR="00000000" w:rsidRPr="001C40B2" w:rsidP="001C40B2">
      <w:pPr>
        <w:pStyle w:val="Heading1"/>
      </w:pPr>
      <w:bookmarkStart w:id="1" w:name="O_1002604"/>
      <w:bookmarkEnd w:id="1"/>
      <w:r w:rsidRPr="001C4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2" w:name="O_1002605"/>
      <w:bookmarkEnd w:id="2"/>
      <w:r w:rsidRPr="001C40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This unit covers the competency required to asse</w:t>
            </w:r>
            <w:r w:rsidRPr="001C40B2">
              <w:t>ss and manage the impact on the network and customers with regards to planned outages. This includes customer outage times, network and plant loading issues and regulatory requirements. A detailed knowledge of network performance indicators is required.</w:t>
            </w:r>
          </w:p>
          <w:p w:rsidR="00000000" w:rsidRPr="001C40B2" w:rsidP="001C40B2">
            <w:pPr>
              <w:pStyle w:val="BodyText"/>
            </w:pPr>
            <w:r w:rsidRPr="001C40B2">
              <w:t>Th</w:t>
            </w:r>
            <w:r w:rsidRPr="001C40B2">
              <w:t xml:space="preserve">e application of the skills and knowledge described in this unit may require a licence/registration to practice in the workplace subject to regulations for undertaking of electrical work.  </w:t>
            </w:r>
          </w:p>
          <w:p w:rsidR="00000000" w:rsidRPr="001C40B2" w:rsidP="001C40B2">
            <w:pPr>
              <w:pStyle w:val="BodyText"/>
            </w:pPr>
            <w:r w:rsidRPr="001C40B2">
              <w:t>Other conditions may apply under state and territory legislative a</w:t>
            </w:r>
            <w:r w:rsidRPr="001C40B2">
              <w:t>nd regulatory licencing requirements which must be confirmed prior to commencing this unit.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3" w:name="O_1002606"/>
      <w:bookmarkEnd w:id="3"/>
      <w:r w:rsidRPr="001C40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Common Unit Group</w:t>
            </w:r>
          </w:p>
          <w:p w:rsidR="00000000" w:rsidRPr="001C40B2" w:rsidP="001C40B2">
            <w:pPr>
              <w:pStyle w:val="BodyText"/>
            </w:pPr>
            <w:r w:rsidRPr="001C40B2">
              <w:t>UEENEEE101A Apply Occupational Health and Safety regulations, codes and practices in the workplace</w:t>
            </w:r>
          </w:p>
          <w:p w:rsidR="00000000" w:rsidRPr="001C40B2" w:rsidP="001C40B2">
            <w:pPr>
              <w:pStyle w:val="BodyText"/>
            </w:pPr>
            <w:r w:rsidRPr="001C40B2">
              <w:t>UEENEED</w:t>
            </w:r>
            <w:r w:rsidRPr="001C40B2">
              <w:t>104A Use engineering applications software on personal computers</w:t>
            </w:r>
          </w:p>
          <w:p w:rsidR="00000000" w:rsidRPr="001C40B2" w:rsidP="001C40B2">
            <w:pPr>
              <w:pStyle w:val="BodyText"/>
            </w:pPr>
            <w:r w:rsidRPr="001C40B2">
              <w:t>UETTDREL16 Working safely near live electrical apparatus</w:t>
            </w:r>
          </w:p>
          <w:p w:rsidR="00000000" w:rsidRPr="001C40B2" w:rsidP="001C40B2">
            <w:pPr>
              <w:pStyle w:val="BodyText"/>
            </w:pPr>
            <w:r w:rsidRPr="001C40B2">
              <w:t>UETTDRIS62 Implement and monitor the power system organisational WHS/OHS policies, procedures and programs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4" w:name="O_1002607"/>
      <w:bookmarkEnd w:id="4"/>
      <w:r w:rsidRPr="001C40B2">
        <w:t>Compet</w:t>
      </w:r>
      <w:r w:rsidRPr="001C40B2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Design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5" w:name="O_1002608"/>
      <w:bookmarkEnd w:id="5"/>
      <w:r w:rsidRPr="001C40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Not applicable.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6" w:name="O_1002609"/>
      <w:bookmarkEnd w:id="6"/>
      <w:r w:rsidRPr="001C40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PERFORMANCE CRITERIA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Performance criteria describe the performance needed to demonstrate achievement of the element.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Plan for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Work health and safety (WHS)/occupational health and safety (OHS) practices/procedures and</w:t>
            </w:r>
            <w:r w:rsidRPr="001C40B2">
              <w:t xml:space="preserve"> environmental and sustainable energy procedures, which may influence the outage strategies, are reviewed and determined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Purpose of the outage is established and expected outcomes of the work are confirmed with appropriate personnel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Organisational established procedures on policies and specifications for the outage are obtained or established with appropriate personnel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Equipment/tools and personnel protective equipment (PPE) are selected and coordinated based on specified requi</w:t>
            </w:r>
            <w:r w:rsidRPr="001C40B2">
              <w:t>rements and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1C40B2">
              <w:t>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Risk control measures are identified, prioritised and evaluated against the work schedule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Relevant work permits are secured to coordinate the performance of work according to requirements and/or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Liaison and communication issues with others/authorised personnel, authorities</w:t>
            </w:r>
            <w:r w:rsidRPr="001C40B2">
              <w:t>, clients and land owners are resolved and activities coordinated to carry out work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 xml:space="preserve">Personnel participating in the work, including plant operators and contractors, are fully briefed and respective responsibilities coordinated and authorised, </w:t>
            </w:r>
            <w:r w:rsidRPr="001C40B2">
              <w:t xml:space="preserve">where </w:t>
            </w:r>
            <w:r w:rsidRPr="001C40B2">
              <w:t>applicable, in accordance with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Carry out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Circuit/systems modelling is used to evaluate alternative proposals in accordance with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WHS/OHS and sustainable energy principles, functionality and practices to reduce the incidence of accidents and minimise waste are incorporated into the strategy in accordance with requirements and/or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Strategy decisions are ma</w:t>
            </w:r>
            <w:r w:rsidRPr="001C40B2">
              <w:t>de on the basis of safety and effective outcomes according to requirements and/or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Mathematical models of the outage strategies are used to analyse the effectiveness of the finished project in accordance with requirements and e</w:t>
            </w:r>
            <w:r w:rsidRPr="001C40B2">
              <w:t>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Technical advice is given to potential hazards, safety risks and control measures so that monitoring and preventative action can be undertaken and/or appropriate authorities consulted, where necessary, in accordance with requir</w:t>
            </w:r>
            <w:r w:rsidRPr="001C40B2">
              <w:t>ements and established procedures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Essential knowledge and associated skills are applied to analyse specific data and compare it with compliance specifications to ensure completion of the strategy within an agreed timeframe according to requirements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Solutions to non-routine problems are identified and actioned using acquired essential knowledge and associated skills according to requirements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Quality of work is monitored against personal performance agreement and/or established organisati</w:t>
            </w:r>
            <w:r w:rsidRPr="001C40B2">
              <w:t>onal and professional standards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rPr>
                <w:rStyle w:val="SpecialBold"/>
              </w:rPr>
              <w:t>Complete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 xml:space="preserve">Final review of the strategy is undertaken to ensure it complies with all requirements and include all specifications and documentations needed to complete </w:t>
            </w:r>
            <w:r w:rsidRPr="001C40B2">
              <w:t>the project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Appropriate personnel are notified of completion and reports and/or completion documents are finalised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t>Reports and/or completion documents are submitted to relevant personnel/organisations for approval and, where applicable, statutory or regulatory approval</w:t>
            </w:r>
          </w:p>
        </w:tc>
      </w:tr>
      <w:tr w:rsidTr="001C4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0B2">
            <w:pPr>
              <w:pStyle w:val="BodyText"/>
              <w:rPr>
                <w:lang w:val="en-NZ"/>
              </w:rPr>
            </w:pPr>
            <w:r w:rsidRPr="001C40B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 xml:space="preserve">Approved copies of outage strategy documents are issued and records are updated in accordance </w:t>
            </w:r>
            <w:r w:rsidRPr="001C40B2">
              <w:t>with established procedures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7" w:name="O_1002610"/>
      <w:bookmarkEnd w:id="7"/>
      <w:r w:rsidRPr="001C40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Foundation skills essential to performance are explicit in the performance criteria of this unit of competency.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8" w:name="O_1002611"/>
      <w:bookmarkEnd w:id="8"/>
      <w:r w:rsidRPr="001C40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Range is restricted to essential operating conditions and any other variables essential to the work environment.</w:t>
            </w:r>
          </w:p>
          <w:p w:rsidR="00000000" w:rsidRPr="001C40B2" w:rsidP="001C40B2">
            <w:pPr>
              <w:pStyle w:val="BodyText"/>
            </w:pPr>
            <w:r w:rsidRPr="001C40B2">
              <w:t>Non-essential conditions may be found in the Companion Volume Implementation Guide.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9" w:name="O_1002612"/>
      <w:bookmarkEnd w:id="9"/>
      <w:r w:rsidRPr="001C40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4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0B2" w:rsidP="001C40B2">
            <w:pPr>
              <w:pStyle w:val="BodyText"/>
            </w:pPr>
            <w:r w:rsidRPr="001C40B2">
              <w:t>This unit rep</w:t>
            </w:r>
            <w:r w:rsidRPr="001C40B2">
              <w:t>laces and is equivalent to UETTDRDS46A Develop planned power systems outage strategies.</w:t>
            </w:r>
          </w:p>
        </w:tc>
      </w:tr>
    </w:tbl>
    <w:p w:rsidR="00000000" w:rsidRPr="001C40B2" w:rsidP="001C40B2">
      <w:pPr>
        <w:pStyle w:val="NoPaddingFontSize1"/>
      </w:pPr>
    </w:p>
    <w:p w:rsidR="00000000" w:rsidRPr="001C40B2" w:rsidP="001C40B2">
      <w:pPr>
        <w:pStyle w:val="AllowPageBreak"/>
      </w:pPr>
    </w:p>
    <w:p w:rsidR="00000000" w:rsidRPr="001C40B2" w:rsidP="001C40B2">
      <w:pPr>
        <w:pStyle w:val="Heading1"/>
      </w:pPr>
      <w:bookmarkStart w:id="10" w:name="O_1002619"/>
      <w:bookmarkEnd w:id="10"/>
      <w:r w:rsidRPr="001C40B2">
        <w:t>Links</w:t>
      </w:r>
    </w:p>
    <w:p w:rsidR="00000000" w:rsidRPr="001C40B2" w:rsidP="00913E82">
      <w:pPr>
        <w:pStyle w:val="BodyText"/>
      </w:pPr>
      <w:r w:rsidRPr="001C40B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7F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C40B2" w:rsidP="001C40B2"/>
    <w:sectPr w:rsidSect="001C40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B2" w:rsidRPr="00913E82" w:rsidP="00913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82" w:rsidP="001C4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E82" w:rsidP="001C4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3E82" w:rsidP="001C4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0B2" w:rsidRPr="00913E82" w:rsidP="00913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82" w:rsidRPr="002D2AF8" w:rsidP="001C4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UETTDRDS46 Develop planned power systems outage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13E82" w:rsidP="001C4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0B2"/>
  </w:style>
  <w:style w:type="character" w:customStyle="1" w:styleId="Heading1Char">
    <w:name w:val="Heading 1 Char"/>
    <w:basedOn w:val="DefaultParagraphFont"/>
    <w:link w:val="Heading1"/>
    <w:rsid w:val="001C4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0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40B2"/>
    <w:rPr>
      <w:b/>
      <w:spacing w:val="0"/>
    </w:rPr>
  </w:style>
  <w:style w:type="paragraph" w:customStyle="1" w:styleId="SuperHeading">
    <w:name w:val="SuperHeading"/>
    <w:basedOn w:val="Normal"/>
    <w:rsid w:val="001C4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4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40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4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0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0B2"/>
    <w:rPr>
      <w:i/>
    </w:rPr>
  </w:style>
  <w:style w:type="paragraph" w:styleId="Caption">
    <w:name w:val="caption"/>
    <w:basedOn w:val="BodyText"/>
    <w:next w:val="Normal"/>
    <w:qFormat/>
    <w:rsid w:val="001C4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0B2"/>
  </w:style>
  <w:style w:type="paragraph" w:styleId="TableofFigures">
    <w:name w:val="table of figures"/>
    <w:basedOn w:val="Normal"/>
    <w:next w:val="Normal"/>
    <w:semiHidden/>
    <w:rsid w:val="001C4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0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40B2"/>
    <w:rPr>
      <w:rFonts w:ascii="Wingdings" w:hAnsi="Wingdings"/>
    </w:rPr>
  </w:style>
  <w:style w:type="paragraph" w:customStyle="1" w:styleId="TableHeading">
    <w:name w:val="Table Heading"/>
    <w:basedOn w:val="HeadingBase"/>
    <w:rsid w:val="001C4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0B2"/>
    <w:rPr>
      <w:color w:val="0033CC"/>
      <w:u w:val="none"/>
    </w:rPr>
  </w:style>
  <w:style w:type="paragraph" w:customStyle="1" w:styleId="BodyTextRight">
    <w:name w:val="Body Text Right"/>
    <w:basedOn w:val="BodyText"/>
    <w:rsid w:val="001C4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0B2"/>
    <w:rPr>
      <w:sz w:val="32"/>
    </w:rPr>
  </w:style>
  <w:style w:type="paragraph" w:customStyle="1" w:styleId="HeadingProcedure">
    <w:name w:val="Heading Procedure"/>
    <w:basedOn w:val="HeadingBase"/>
    <w:next w:val="Normal"/>
    <w:rsid w:val="001C4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0B2"/>
    <w:pPr>
      <w:spacing w:before="60" w:after="60"/>
    </w:pPr>
  </w:style>
  <w:style w:type="paragraph" w:styleId="ListContinue">
    <w:name w:val="List Continue"/>
    <w:basedOn w:val="List"/>
    <w:rsid w:val="001C40B2"/>
    <w:pPr>
      <w:ind w:firstLine="0"/>
    </w:pPr>
  </w:style>
  <w:style w:type="paragraph" w:customStyle="1" w:styleId="ListNote">
    <w:name w:val="List Note"/>
    <w:basedOn w:val="List"/>
    <w:rsid w:val="001C4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0B2"/>
    <w:rPr>
      <w:rFonts w:ascii="Courier New" w:hAnsi="Courier New"/>
    </w:rPr>
  </w:style>
  <w:style w:type="paragraph" w:customStyle="1" w:styleId="NoteBullet">
    <w:name w:val="Note Bullet"/>
    <w:basedOn w:val="Note"/>
    <w:rsid w:val="001C4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0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4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0B2"/>
    <w:rPr>
      <w:b/>
      <w:smallCaps/>
    </w:rPr>
  </w:style>
  <w:style w:type="paragraph" w:customStyle="1" w:styleId="TableListNumber">
    <w:name w:val="Table List Number"/>
    <w:basedOn w:val="ListNumber"/>
    <w:rsid w:val="001C4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0B2"/>
    <w:pPr>
      <w:numPr>
        <w:numId w:val="7"/>
      </w:numPr>
    </w:pPr>
  </w:style>
  <w:style w:type="paragraph" w:customStyle="1" w:styleId="ListAlpha2">
    <w:name w:val="List Alpha 2"/>
    <w:basedOn w:val="List2"/>
    <w:rsid w:val="001C40B2"/>
    <w:pPr>
      <w:numPr>
        <w:numId w:val="6"/>
      </w:numPr>
    </w:pPr>
  </w:style>
  <w:style w:type="paragraph" w:styleId="List2">
    <w:name w:val="List 2"/>
    <w:basedOn w:val="BodyText"/>
    <w:rsid w:val="001C4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0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0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40B2"/>
    <w:pPr>
      <w:numPr>
        <w:numId w:val="2"/>
      </w:numPr>
    </w:pPr>
  </w:style>
  <w:style w:type="paragraph" w:styleId="ListContinue2">
    <w:name w:val="List Continue 2"/>
    <w:basedOn w:val="List2"/>
    <w:rsid w:val="001C40B2"/>
    <w:pPr>
      <w:ind w:firstLine="0"/>
    </w:pPr>
  </w:style>
  <w:style w:type="paragraph" w:styleId="ListContinue3">
    <w:name w:val="List Continue 3"/>
    <w:basedOn w:val="List3"/>
    <w:rsid w:val="001C40B2"/>
    <w:pPr>
      <w:ind w:left="1021" w:firstLine="0"/>
    </w:pPr>
  </w:style>
  <w:style w:type="paragraph" w:styleId="ListContinue4">
    <w:name w:val="List Continue 4"/>
    <w:basedOn w:val="List4"/>
    <w:rsid w:val="001C40B2"/>
    <w:pPr>
      <w:ind w:firstLine="0"/>
    </w:pPr>
  </w:style>
  <w:style w:type="paragraph" w:styleId="ListContinue5">
    <w:name w:val="List Continue 5"/>
    <w:basedOn w:val="List5"/>
    <w:rsid w:val="001C40B2"/>
    <w:pPr>
      <w:ind w:firstLine="0"/>
    </w:pPr>
  </w:style>
  <w:style w:type="paragraph" w:styleId="ListNumber3">
    <w:name w:val="List Number 3"/>
    <w:basedOn w:val="List3"/>
    <w:rsid w:val="001C40B2"/>
    <w:pPr>
      <w:numPr>
        <w:numId w:val="3"/>
      </w:numPr>
    </w:pPr>
  </w:style>
  <w:style w:type="paragraph" w:styleId="ListNumber4">
    <w:name w:val="List Number 4"/>
    <w:basedOn w:val="List4"/>
    <w:rsid w:val="001C40B2"/>
    <w:pPr>
      <w:numPr>
        <w:numId w:val="4"/>
      </w:numPr>
    </w:pPr>
  </w:style>
  <w:style w:type="paragraph" w:styleId="ListNumber5">
    <w:name w:val="List Number 5"/>
    <w:basedOn w:val="List5"/>
    <w:rsid w:val="001C40B2"/>
    <w:pPr>
      <w:numPr>
        <w:numId w:val="5"/>
      </w:numPr>
    </w:pPr>
  </w:style>
  <w:style w:type="paragraph" w:styleId="BlockText">
    <w:name w:val="Block Text"/>
    <w:basedOn w:val="Normal"/>
    <w:rsid w:val="001C4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0B2"/>
    <w:rPr>
      <w:sz w:val="16"/>
      <w:vertAlign w:val="superscript"/>
    </w:rPr>
  </w:style>
  <w:style w:type="character" w:customStyle="1" w:styleId="Symbols">
    <w:name w:val="Symbols"/>
    <w:basedOn w:val="DefaultParagraphFont"/>
    <w:rsid w:val="001C40B2"/>
    <w:rPr>
      <w:rFonts w:ascii="Symbol" w:hAnsi="Symbol"/>
    </w:rPr>
  </w:style>
  <w:style w:type="character" w:customStyle="1" w:styleId="MenuOptions">
    <w:name w:val="Menu Options"/>
    <w:basedOn w:val="DefaultParagraphFont"/>
    <w:rsid w:val="001C4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0B2"/>
    <w:rPr>
      <w:b/>
    </w:rPr>
  </w:style>
  <w:style w:type="character" w:customStyle="1" w:styleId="Underlined">
    <w:name w:val="Underlined"/>
    <w:basedOn w:val="DefaultParagraphFont"/>
    <w:rsid w:val="001C40B2"/>
    <w:rPr>
      <w:u w:val="single"/>
    </w:rPr>
  </w:style>
  <w:style w:type="paragraph" w:customStyle="1" w:styleId="TableBodyTextRight">
    <w:name w:val="Table Body Text Right"/>
    <w:basedOn w:val="TableBodyText"/>
    <w:rsid w:val="001C4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0B2"/>
    <w:rPr>
      <w:sz w:val="18"/>
    </w:rPr>
  </w:style>
  <w:style w:type="paragraph" w:customStyle="1" w:styleId="BodySmallRight">
    <w:name w:val="Body Small Right"/>
    <w:basedOn w:val="BodyTextRight"/>
    <w:rsid w:val="001C40B2"/>
    <w:rPr>
      <w:sz w:val="18"/>
      <w:szCs w:val="18"/>
    </w:rPr>
  </w:style>
  <w:style w:type="paragraph" w:customStyle="1" w:styleId="MarginEdition">
    <w:name w:val="Margin Edition"/>
    <w:basedOn w:val="MarginNote"/>
    <w:rsid w:val="001C4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0B2"/>
    <w:rPr>
      <w:sz w:val="2"/>
      <w:szCs w:val="2"/>
    </w:rPr>
  </w:style>
  <w:style w:type="character" w:customStyle="1" w:styleId="Small">
    <w:name w:val="Small"/>
    <w:basedOn w:val="DefaultParagraphFont"/>
    <w:rsid w:val="001C40B2"/>
    <w:rPr>
      <w:sz w:val="16"/>
    </w:rPr>
  </w:style>
  <w:style w:type="paragraph" w:customStyle="1" w:styleId="WideTable">
    <w:name w:val="Wide Table"/>
    <w:basedOn w:val="Normal"/>
    <w:rsid w:val="001C4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0B2"/>
  </w:style>
  <w:style w:type="paragraph" w:styleId="Quote">
    <w:name w:val="Quote"/>
    <w:basedOn w:val="Heading1"/>
    <w:link w:val="QuoteChar"/>
    <w:qFormat/>
    <w:rsid w:val="001C4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0B2"/>
    <w:pPr>
      <w:pageBreakBefore/>
    </w:pPr>
  </w:style>
  <w:style w:type="paragraph" w:customStyle="1" w:styleId="Border">
    <w:name w:val="Border"/>
    <w:basedOn w:val="Normal"/>
    <w:qFormat/>
    <w:rsid w:val="001C4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0B2"/>
    <w:rPr>
      <w:u w:val="single"/>
    </w:rPr>
  </w:style>
  <w:style w:type="character" w:customStyle="1" w:styleId="BoldandItalics">
    <w:name w:val="Bold and Italics"/>
    <w:qFormat/>
    <w:rsid w:val="001C40B2"/>
    <w:rPr>
      <w:b/>
      <w:i/>
      <w:u w:val="none"/>
    </w:rPr>
  </w:style>
  <w:style w:type="paragraph" w:styleId="BalloonText">
    <w:name w:val="Balloon Text"/>
    <w:basedOn w:val="Normal"/>
    <w:link w:val="BalloonTextChar"/>
    <w:rsid w:val="001C4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0B2"/>
    <w:pPr>
      <w:spacing w:before="0" w:after="0"/>
    </w:pPr>
  </w:style>
  <w:style w:type="paragraph" w:customStyle="1" w:styleId="BodyTextBold">
    <w:name w:val="Body Text Bold"/>
    <w:basedOn w:val="BodyText"/>
    <w:qFormat/>
    <w:rsid w:val="001C40B2"/>
    <w:rPr>
      <w:b/>
    </w:rPr>
  </w:style>
  <w:style w:type="character" w:styleId="Hyperlink">
    <w:name w:val="Hyperlink"/>
    <w:basedOn w:val="DefaultParagraphFont"/>
    <w:uiPriority w:val="99"/>
    <w:unhideWhenUsed/>
    <w:rsid w:val="00913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5452</Characters>
  <Application>Microsoft Office Word</Application>
  <DocSecurity>0</DocSecurity>
  <Lines>227</Lines>
  <Paragraphs>99</Paragraphs>
  <ScaleCrop>false</ScaleCrop>
  <Company>Author-it Software Corporation Ltd.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UETTDRDS46 Develop planned power systems outage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