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CC2" w:rsidP="00FC5CC2">
      <w:pPr>
        <w:pStyle w:val="Title"/>
      </w:pPr>
      <w:r>
        <w:fldChar w:fldCharType="begin"/>
      </w:r>
      <w:r>
        <w:instrText xml:space="preserve"> TITLE   \* MERGEFORMAT </w:instrText>
      </w:r>
      <w:r>
        <w:fldChar w:fldCharType="separate"/>
      </w:r>
      <w:r>
        <w:t>UETTDRDS42 Investigate quality of power systems supply issues</w:t>
      </w:r>
      <w:r>
        <w:fldChar w:fldCharType="end"/>
      </w:r>
    </w:p>
    <w:p w:rsidR="00FC5CC2" w:rsidP="00FC5CC2">
      <w:pPr>
        <w:pStyle w:val="Version"/>
        <w:sectPr w:rsidSect="005B4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266" w:rsidP="005B4266">
      <w:pPr>
        <w:pStyle w:val="SuperHeading"/>
      </w:pPr>
      <w:r w:rsidRPr="005B4266">
        <w:t>UETTDRDS42 Investigate quality of power systems supply issues</w:t>
      </w:r>
    </w:p>
    <w:p w:rsidR="00000000" w:rsidRPr="005B4266" w:rsidP="005B4266">
      <w:pPr>
        <w:pStyle w:val="Heading1"/>
      </w:pPr>
      <w:bookmarkStart w:id="1" w:name="O_1002528"/>
      <w:bookmarkEnd w:id="1"/>
      <w:r w:rsidRPr="005B4266">
        <w:t>Modification History</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Release 1. This is the first release of this unit of competency in the UET Transmission, Distribution and Rail Sector Training Package.</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2" w:name="O_1002529"/>
      <w:bookmarkEnd w:id="2"/>
      <w:r w:rsidRPr="005B4266">
        <w:t>Application</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This unit covers the technical investigation of quality of supply issues and recommending solutions. Quality of supply issues may include television and radio interference, voltage complaints, harmonics and system irregularities.</w:t>
            </w:r>
          </w:p>
          <w:p w:rsidR="00000000" w:rsidRPr="005B4266" w:rsidP="005B4266">
            <w:pPr>
              <w:pStyle w:val="BodyText"/>
            </w:pPr>
            <w:r w:rsidRPr="005B4266">
              <w:t>The application of the ski</w:t>
            </w:r>
            <w:r w:rsidRPr="005B4266">
              <w:t xml:space="preserve">lls and knowledge described in this unit may require a licence/registration to practice in the workplace subject to regulations for undertaking of electrical work.  </w:t>
            </w:r>
          </w:p>
          <w:p w:rsidR="00000000" w:rsidRPr="005B4266" w:rsidP="005B4266">
            <w:pPr>
              <w:pStyle w:val="BodyText"/>
            </w:pPr>
            <w:r w:rsidRPr="005B4266">
              <w:t xml:space="preserve">Other conditions may apply under state and territory legislative and regulatory licencing </w:t>
            </w:r>
            <w:r w:rsidRPr="005B4266">
              <w:t>requirements which must be confirmed prior to commencing this unit.</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3" w:name="O_1002530"/>
      <w:bookmarkEnd w:id="3"/>
      <w:r w:rsidRPr="005B4266">
        <w:t>Pre-requisite Unit</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 xml:space="preserve">All competencies in the Common Unit Group must have been completed, plus all competencies in one (1) of the identified Pathway Unit Group(s). </w:t>
            </w:r>
          </w:p>
          <w:p w:rsidR="00000000" w:rsidRPr="005B4266" w:rsidP="005B4266">
            <w:pPr>
              <w:pStyle w:val="BodyText"/>
            </w:pPr>
            <w:r w:rsidRPr="005B4266">
              <w:t>Commo</w:t>
            </w:r>
            <w:r w:rsidRPr="005B4266">
              <w:t>n Unit Group</w:t>
            </w:r>
          </w:p>
          <w:p w:rsidR="00000000" w:rsidRPr="005B4266" w:rsidP="005B4266">
            <w:pPr>
              <w:pStyle w:val="BodyText"/>
            </w:pPr>
            <w:r w:rsidRPr="005B4266">
              <w:t>UEENEEE101A Apply Occupational Health and Safety regulations, codes and practices in the workplace</w:t>
            </w:r>
          </w:p>
          <w:p w:rsidR="00000000" w:rsidRPr="005B4266" w:rsidP="005B4266">
            <w:pPr>
              <w:pStyle w:val="BodyText"/>
            </w:pPr>
            <w:r w:rsidRPr="005B4266">
              <w:t>UEENEEE102A Fabricate, assemble and dismantle utilities industry components</w:t>
            </w:r>
          </w:p>
          <w:p w:rsidR="00000000" w:rsidRPr="005B4266" w:rsidP="005B4266">
            <w:pPr>
              <w:pStyle w:val="BodyText"/>
            </w:pPr>
            <w:r w:rsidRPr="005B4266">
              <w:t>UEENEEE104A Solve problems in d.c. circuits</w:t>
            </w:r>
          </w:p>
          <w:p w:rsidR="00000000" w:rsidRPr="005B4266" w:rsidP="005B4266">
            <w:pPr>
              <w:pStyle w:val="BodyText"/>
            </w:pPr>
            <w:r w:rsidRPr="005B4266">
              <w:t>UEENEEE107A Use drawings</w:t>
            </w:r>
            <w:r w:rsidRPr="005B4266">
              <w:t>, diagrams, schedules, standards, codes and specifications</w:t>
            </w:r>
          </w:p>
          <w:p w:rsidR="00000000" w:rsidRPr="005B4266" w:rsidP="005B4266">
            <w:pPr>
              <w:pStyle w:val="BodyText"/>
            </w:pPr>
            <w:r w:rsidRPr="005B4266">
              <w:t>UEENEEE125A Provide engineering solutions for problems in complex multiple path circuits</w:t>
            </w:r>
          </w:p>
          <w:p w:rsidR="00000000" w:rsidRPr="005B4266" w:rsidP="005B4266">
            <w:pPr>
              <w:pStyle w:val="BodyText"/>
            </w:pPr>
            <w:r w:rsidRPr="005B4266">
              <w:t>UEENEEE126A Provide solutions to basic engineering computational problems</w:t>
            </w:r>
          </w:p>
          <w:p w:rsidR="00000000" w:rsidRPr="005B4266" w:rsidP="005B4266">
            <w:pPr>
              <w:pStyle w:val="BodyText"/>
            </w:pPr>
            <w:r w:rsidRPr="005B4266">
              <w:t>UEENEEG101A Solve problems in electromagnetic devices and related circuits</w:t>
            </w:r>
          </w:p>
          <w:p w:rsidR="00000000" w:rsidRPr="005B4266" w:rsidP="005B4266">
            <w:pPr>
              <w:pStyle w:val="BodyText"/>
            </w:pPr>
            <w:r w:rsidRPr="005B4266">
              <w:t>UEENEEG102A Solve problems in low voltage a.c. circuits</w:t>
            </w:r>
          </w:p>
          <w:p w:rsidR="00000000" w:rsidRPr="005B4266" w:rsidP="005B4266">
            <w:pPr>
              <w:pStyle w:val="BodyText"/>
            </w:pPr>
            <w:r w:rsidRPr="005B4266">
              <w:t>UEENEEG149A Provide engineering solutions to problems in complex polyphase power circuits</w:t>
            </w:r>
          </w:p>
          <w:p w:rsidR="00000000" w:rsidRPr="005B4266" w:rsidP="005B4266">
            <w:pPr>
              <w:pStyle w:val="BodyText"/>
            </w:pPr>
            <w:r w:rsidRPr="005B4266">
              <w:t>UETTDREL11 Apply sustainable energy</w:t>
            </w:r>
            <w:r w:rsidRPr="005B4266">
              <w:t xml:space="preserve"> and environmental procedures</w:t>
            </w:r>
          </w:p>
          <w:p w:rsidR="00000000" w:rsidRPr="005B4266" w:rsidP="005B4266">
            <w:pPr>
              <w:pStyle w:val="BodyText"/>
            </w:pPr>
            <w:r w:rsidRPr="005B4266">
              <w:t>UETTDREL16 Working safely near live electrical apparatus</w:t>
            </w:r>
          </w:p>
          <w:p w:rsidR="00000000" w:rsidRPr="005B4266" w:rsidP="005B4266">
            <w:pPr>
              <w:pStyle w:val="BodyText"/>
            </w:pPr>
            <w:r w:rsidRPr="005B4266">
              <w:t>UETTDRIS62 Implement and monitor the power system organisational WHS/OHS policies, procedures and programs</w:t>
            </w:r>
          </w:p>
          <w:p w:rsidR="00000000" w:rsidRPr="005B4266" w:rsidP="005B4266">
            <w:pPr>
              <w:pStyle w:val="BodyText"/>
            </w:pPr>
            <w:r w:rsidRPr="005B4266">
              <w:t>UETTDRIS63 Implement &amp; monitor power system environmental &amp; su</w:t>
            </w:r>
            <w:r w:rsidRPr="005B4266">
              <w:t xml:space="preserve">stainable energy </w:t>
            </w:r>
            <w:r w:rsidRPr="005B4266">
              <w:t>management policies &amp; procedures</w:t>
            </w:r>
          </w:p>
          <w:p w:rsidR="00000000" w:rsidRPr="005B4266" w:rsidP="005B4266">
            <w:pPr>
              <w:pStyle w:val="BodyText"/>
            </w:pPr>
            <w:r w:rsidRPr="005B4266">
              <w:t>UETTDRDS35 Design overhead distribution power systems</w:t>
            </w:r>
          </w:p>
          <w:p w:rsidR="00000000" w:rsidRPr="005B4266" w:rsidP="005B4266">
            <w:pPr>
              <w:pStyle w:val="BodyText"/>
            </w:pPr>
            <w:r w:rsidRPr="005B4266">
              <w:t>UETTDRDS36 Design underground distribution power systems</w:t>
            </w:r>
          </w:p>
          <w:p w:rsidR="00000000" w:rsidRPr="005B4266" w:rsidP="005B4266">
            <w:pPr>
              <w:pStyle w:val="BodyText"/>
            </w:pPr>
            <w:r w:rsidRPr="005B4266">
              <w:t>Pathway Unit Group 1</w:t>
            </w:r>
          </w:p>
          <w:p w:rsidR="00000000" w:rsidRPr="005B4266" w:rsidP="005B4266">
            <w:pPr>
              <w:pStyle w:val="BodyText"/>
            </w:pPr>
            <w:r w:rsidRPr="005B4266">
              <w:t>UETTDRDS39 Prepare and manage detailed construction plans for electrical p</w:t>
            </w:r>
            <w:r w:rsidRPr="005B4266">
              <w:t>ower system infrastructure</w:t>
            </w:r>
          </w:p>
          <w:p w:rsidR="00000000" w:rsidRPr="005B4266" w:rsidP="005B4266">
            <w:pPr>
              <w:pStyle w:val="BodyText"/>
            </w:pPr>
            <w:r w:rsidRPr="005B4266">
              <w:t>UETTDRDS45 Organise and implement ESI line and easement surveys</w:t>
            </w:r>
          </w:p>
          <w:p w:rsidR="00000000" w:rsidRPr="005B4266" w:rsidP="005B4266">
            <w:pPr>
              <w:pStyle w:val="BodyText"/>
            </w:pPr>
            <w:r w:rsidRPr="005B4266">
              <w:t>Pathway Unit Group 2</w:t>
            </w:r>
          </w:p>
          <w:p w:rsidR="00000000" w:rsidRPr="005B4266" w:rsidP="005B4266">
            <w:pPr>
              <w:pStyle w:val="BodyText"/>
            </w:pPr>
            <w:r w:rsidRPr="005B4266">
              <w:t>UETTDRDS43 Develop high voltage and low voltage distribution protection systems</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4" w:name="O_1002531"/>
      <w:bookmarkEnd w:id="4"/>
      <w:r w:rsidRPr="005B4266">
        <w:t>Competency Field</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Design</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5" w:name="O_1002532"/>
      <w:bookmarkEnd w:id="5"/>
      <w:r w:rsidRPr="005B4266">
        <w:t>Unit Sector</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Not applicable.</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6" w:name="O_1002533"/>
      <w:bookmarkEnd w:id="6"/>
      <w:r w:rsidRPr="005B426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B42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PERFORMANCE CRITERIA</w:t>
            </w:r>
          </w:p>
        </w:tc>
      </w:tr>
      <w:tr w:rsidTr="005B42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Performance criteria describe the performance needed to demonstrate achievement of the e</w:t>
            </w:r>
            <w:r w:rsidRPr="005B4266">
              <w:t>lement.</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Plan for and coordinate the investigation of issues in the quality of supply</w:t>
            </w: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 xml:space="preserve">Work health and safety (WHS)/occupational health and safety (OHS) practices/procedures and environmental and sustainable energy procedures, which may influence </w:t>
            </w:r>
            <w:r w:rsidRPr="005B4266">
              <w:t>the investigation of issues in the quality of supply, are reviewed and determined</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Purpose of the investigation is established and expected outcomes of the work are confirmed with appropriate personnel</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 xml:space="preserve">Organisational established procedures on </w:t>
            </w:r>
            <w:r w:rsidRPr="005B4266">
              <w:t>policies and specifications for the investigation are obtained or established with appropriate personnel</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Equipment/tools and personal protective equipment (PPE) are selected and coordinated based on specified requirements and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Work is prioritised and sequenced for the most efficient and effective outcome following consultation with others for completion within acceptable timeframes, to a quality standard and in accordance with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Risk control me</w:t>
            </w:r>
            <w:r w:rsidRPr="005B4266">
              <w:t>asures are identified, prioritised and evaluated against the work schedule</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Relevant work permits are secured to coordinate the performance of work according to requirements and/or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Resources, including personnel, equipment, tools and PPE, required for the job are identified, scheduled and coordinated and confirmed safe and in technical working order</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Liaison and communication issues with others/authorised personnel, authorities</w:t>
            </w:r>
            <w:r w:rsidRPr="005B4266">
              <w:t>, clients and land owners are resolved and activities coordinated to carry out work</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Site is prepared according to the work schedule and to minimise risk and damage to property, commerce and individuals in accordance with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w:t>
            </w:r>
            <w:r w:rsidRPr="005B42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Personnel participating in the work, including plant operators and contractors, are fully briefed and respective responsibilities coordinated and authorised where applicable in accordance with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Positioning of road signs, barriers and warning devices is planned in accordance with requirements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Carry out and coordinate the investigation of issues in the quality of supply</w:t>
            </w: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Circuit/system modelling is used to evaluate alternative proposals in accordance with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WHS/OHS and sustainable energy principles, functionality and practices to reduce the incidence of accidents and minimise waste are incorpora</w:t>
            </w:r>
            <w:r w:rsidRPr="005B4266">
              <w:t>ted into the project in accordance with requirements and/or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Investigation decisions are made on the basis of safety and effective outcomes according to requirements and/or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Mathematical models of t</w:t>
            </w:r>
            <w:r w:rsidRPr="005B4266">
              <w:t>he quality system are used to analyse the effectiveness of the finished product/service in accordance with requirements and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Technical advice is given to potential hazards, safety risks and control measures so that monitoring and preventative action can be undertaken and/or appropriate authorities consulted, where necessary, in accordance with requirements and established proced</w:t>
            </w:r>
            <w:r w:rsidRPr="005B4266">
              <w:t>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Essential knowledge and associated skills are applied to analyse specific data and compare it with compliance specifications to ensure completion of the project within an agreed timeframe according to requirements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Solutions to non-routin</w:t>
            </w:r>
            <w:r w:rsidRPr="005B4266">
              <w:t>e problems are identified and actioned using acquired essential knowledge and associated skills according to requirements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Quality of work is monitored against personal performance agreement and/or established organisational and professional standard</w:t>
            </w:r>
            <w:r w:rsidRPr="005B4266">
              <w:t>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Testing of supply quality is undertaken according to requirements and established procedures</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rPr>
                <w:rStyle w:val="SpecialBold"/>
              </w:rPr>
              <w:t>Complete and coordinate the investigation of issues in the quality of supply</w:t>
            </w: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Final assessments of the quality of project are undertaken to ensure they comply with all requirements and include all specifications and documentations needed to complete the supply brief</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Appropriate personnel are notified of completion and reports</w:t>
            </w:r>
            <w:r w:rsidRPr="005B4266">
              <w:t xml:space="preserve"> and/or completion documents are finalised</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Reports and/or completion documents are submitted to relevant personnel/organisations for approval and, where applicable, statutory or regulatory approval</w:t>
            </w:r>
          </w:p>
        </w:tc>
      </w:tr>
      <w:tr w:rsidTr="005B42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42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Approved copies of quality assessment docume</w:t>
            </w:r>
            <w:r w:rsidRPr="005B4266">
              <w:t>nts are issued and records are updated in accordance with established procedures</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7" w:name="O_1002534"/>
      <w:bookmarkEnd w:id="7"/>
      <w:r w:rsidRPr="005B4266">
        <w:t>Foundation Skills</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Foundation skills essential to performance are explicit in the performance criteria of this unit of competency.</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8" w:name="O_1002535"/>
      <w:bookmarkEnd w:id="8"/>
      <w:r w:rsidRPr="005B4266">
        <w:t>Range of Conditions</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Range is restricted to essential operating conditions and any other variables essential to the work environment.</w:t>
            </w:r>
          </w:p>
          <w:p w:rsidR="00000000" w:rsidRPr="005B4266" w:rsidP="005B4266">
            <w:pPr>
              <w:pStyle w:val="BodyText"/>
            </w:pPr>
            <w:r w:rsidRPr="005B4266">
              <w:t>Non-essential conditions may be found in the Companion Volume Implementation Guide.</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9" w:name="O_1002536"/>
      <w:bookmarkEnd w:id="9"/>
      <w:r w:rsidRPr="005B4266">
        <w:t>Unit Mapping Infor</w:t>
      </w:r>
      <w:r w:rsidRPr="005B4266">
        <w:t>mation</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This unit replaces and is equivalent to UETTDRDS42A Investigate quality of power systems supply issues.</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10" w:name="O_1002543"/>
      <w:bookmarkEnd w:id="10"/>
      <w:r w:rsidRPr="005B4266">
        <w:t>Links</w:t>
      </w:r>
    </w:p>
    <w:p w:rsidR="00000000" w:rsidRPr="005B4266" w:rsidP="00FC5CC2">
      <w:pPr>
        <w:pStyle w:val="BodyText"/>
      </w:pPr>
      <w:r w:rsidRPr="005B426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543F0">
        <w:rPr>
          <w:rStyle w:val="Hyperlink"/>
        </w:rPr>
        <w:t>https://vetnet.gov.au/Pages/TrainingDocs.aspx?q=229bace1-b7bc-4653-9300-dffb13ecfad7</w:t>
      </w:r>
      <w:r>
        <w:fldChar w:fldCharType="end"/>
      </w:r>
    </w:p>
    <w:p w:rsidR="00000000" w:rsidRPr="005B4266" w:rsidP="00FC5CC2">
      <w:pPr>
        <w:pStyle w:val="BodyText"/>
        <w:sectPr w:rsidSect="005B4266">
          <w:headerReference w:type="default" r:id="rId10"/>
          <w:footerReference w:type="default" r:id="rId11"/>
          <w:pgSz w:w="11908" w:h="16833"/>
          <w:pgMar w:top="1702" w:right="1418" w:bottom="1702" w:left="1418" w:header="992" w:footer="992" w:gutter="0"/>
          <w:cols w:space="720"/>
          <w:noEndnote/>
          <w:docGrid w:linePitch="299"/>
        </w:sectPr>
      </w:pPr>
    </w:p>
    <w:p w:rsidR="00000000" w:rsidRPr="005B4266" w:rsidP="005B4266">
      <w:pPr>
        <w:pStyle w:val="SuperHeading"/>
      </w:pPr>
      <w:r w:rsidRPr="005B4266">
        <w:t>Assessment Requirements for UETTDRDS42 Inves</w:t>
      </w:r>
      <w:r w:rsidRPr="005B4266">
        <w:t>tigate quality of power systems supply issues</w:t>
      </w:r>
    </w:p>
    <w:p w:rsidR="00000000" w:rsidRPr="005B4266" w:rsidP="005B4266">
      <w:pPr>
        <w:pStyle w:val="Heading1"/>
      </w:pPr>
      <w:bookmarkStart w:id="11" w:name="O_1002538"/>
      <w:bookmarkEnd w:id="11"/>
      <w:r w:rsidRPr="005B4266">
        <w:t>Modification History</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Release 1. This is the first release of this unit of competency in the UET Transmission, Distribution and Rail Sector Training Package.</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12" w:name="O_1002539"/>
      <w:bookmarkEnd w:id="12"/>
      <w:r w:rsidRPr="005B4266">
        <w:t>Performance Evidence</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 xml:space="preserve">Evidence required to demonstrate competence in this unit must be relevant to and satisfy all of the requirements of the elements and performance criteria on at least two separate occasions and include:  </w:t>
            </w:r>
          </w:p>
        </w:tc>
      </w:tr>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ListBullet"/>
            </w:pPr>
            <w:r w:rsidRPr="005B4266">
              <w:t>applying relevant work health</w:t>
            </w:r>
            <w:r w:rsidRPr="005B4266">
              <w:t xml:space="preserve"> and safety (WHS)/occupational health and safety (OHS) requirements including the use of risk control measures</w:t>
            </w:r>
          </w:p>
          <w:p w:rsidR="00000000" w:rsidRPr="005B4266" w:rsidP="005B4266">
            <w:pPr>
              <w:pStyle w:val="ListBullet"/>
            </w:pPr>
            <w:r w:rsidRPr="005B4266">
              <w:t>applying sustainable energy principles and practices</w:t>
            </w:r>
          </w:p>
          <w:p w:rsidR="00000000" w:rsidRPr="005B4266" w:rsidP="005B4266">
            <w:pPr>
              <w:pStyle w:val="ListBullet"/>
            </w:pPr>
            <w:r w:rsidRPr="005B4266">
              <w:t>completing six (6) technical solutions to issues relating to the following project types:</w:t>
            </w:r>
          </w:p>
          <w:p w:rsidR="00000000" w:rsidRPr="005B4266" w:rsidP="005B4266">
            <w:pPr>
              <w:pStyle w:val="ListBullet2"/>
            </w:pPr>
            <w:r w:rsidRPr="005B4266">
              <w:t>television and radio interference</w:t>
            </w:r>
          </w:p>
          <w:p w:rsidR="00000000" w:rsidRPr="005B4266" w:rsidP="005B4266">
            <w:pPr>
              <w:pStyle w:val="ListBullet2"/>
            </w:pPr>
            <w:r w:rsidRPr="005B4266">
              <w:t>voltage irregularities in an urban area</w:t>
            </w:r>
          </w:p>
          <w:p w:rsidR="00000000" w:rsidRPr="005B4266" w:rsidP="005B4266">
            <w:pPr>
              <w:pStyle w:val="ListBullet2"/>
            </w:pPr>
            <w:r w:rsidRPr="005B4266">
              <w:t>voltage irregularities in a rural area</w:t>
            </w:r>
          </w:p>
          <w:p w:rsidR="00000000" w:rsidRPr="005B4266" w:rsidP="005B4266">
            <w:pPr>
              <w:pStyle w:val="ListBullet2"/>
            </w:pPr>
            <w:r w:rsidRPr="005B4266">
              <w:t>voltage irregularities affecting an industrial/commercial customer</w:t>
            </w:r>
          </w:p>
          <w:p w:rsidR="00000000" w:rsidRPr="005B4266" w:rsidP="005B4266">
            <w:pPr>
              <w:pStyle w:val="ListBullet2"/>
            </w:pPr>
            <w:r w:rsidRPr="005B4266">
              <w:t>voltage irregularities in an underground area</w:t>
            </w:r>
          </w:p>
          <w:p w:rsidR="00000000" w:rsidRPr="005B4266" w:rsidP="005B4266">
            <w:pPr>
              <w:pStyle w:val="ListBullet"/>
            </w:pPr>
            <w:r w:rsidRPr="005B4266">
              <w:t>dealing with unplanned events</w:t>
            </w:r>
            <w:r w:rsidRPr="005B4266">
              <w:t xml:space="preserve"> on at least one (1) occasion.</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13" w:name="O_1002540"/>
      <w:bookmarkEnd w:id="13"/>
      <w:r w:rsidRPr="005B4266">
        <w:t>Knowledge Evidence</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266">
            <w:pPr>
              <w:pStyle w:val="BodyText"/>
              <w:rPr>
                <w:lang w:val="en-NZ"/>
              </w:rPr>
            </w:pPr>
            <w:r w:rsidRPr="005B4266">
              <w:t>Evidence required to demonstrate competence in this unit must be relevant to and satisfy all of the requirements of the elements and performance criteria and include knowledge of:</w:t>
            </w:r>
          </w:p>
        </w:tc>
      </w:tr>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ListBullet"/>
            </w:pPr>
            <w:r w:rsidRPr="005B4266">
              <w:t>detailed operation of fundamental test equipment encompassing:</w:t>
            </w:r>
          </w:p>
          <w:p w:rsidR="00000000" w:rsidRPr="005B4266" w:rsidP="005B4266">
            <w:pPr>
              <w:pStyle w:val="ListBullet2"/>
            </w:pPr>
            <w:r w:rsidRPr="005B4266">
              <w:t>care and safe use</w:t>
            </w:r>
          </w:p>
          <w:p w:rsidR="00000000" w:rsidRPr="005B4266" w:rsidP="005B4266">
            <w:pPr>
              <w:pStyle w:val="ListBullet2"/>
            </w:pPr>
            <w:r w:rsidRPr="005B4266">
              <w:t>operating principles</w:t>
            </w:r>
          </w:p>
          <w:p w:rsidR="00000000" w:rsidRPr="005B4266" w:rsidP="005B4266">
            <w:pPr>
              <w:pStyle w:val="ListBullet2"/>
            </w:pPr>
            <w:r w:rsidRPr="005B4266">
              <w:t>comparison of different operating principle meters used for the same purpose</w:t>
            </w:r>
          </w:p>
          <w:p w:rsidR="00000000" w:rsidRPr="005B4266" w:rsidP="005B4266">
            <w:pPr>
              <w:pStyle w:val="ListBullet2"/>
            </w:pPr>
            <w:r w:rsidRPr="005B4266">
              <w:t xml:space="preserve">accuracy and loading effects of meters: </w:t>
            </w:r>
          </w:p>
          <w:p w:rsidR="00000000" w:rsidRPr="005B4266" w:rsidP="005B4266">
            <w:pPr>
              <w:pStyle w:val="ListBullet3"/>
            </w:pPr>
            <w:r w:rsidRPr="005B4266">
              <w:t>measurement of voltage, current, power, resistance, insulation resistance, impedance and phase sequence and the use of oscilloscopes</w:t>
            </w:r>
          </w:p>
          <w:p w:rsidR="00000000" w:rsidRPr="005B4266" w:rsidP="005B4266">
            <w:pPr>
              <w:pStyle w:val="ListBullet"/>
            </w:pPr>
            <w:r w:rsidRPr="005B4266">
              <w:t>detailed operation of field device test equipment encompassing:</w:t>
            </w:r>
          </w:p>
          <w:p w:rsidR="00000000" w:rsidRPr="005B4266" w:rsidP="005B4266">
            <w:pPr>
              <w:pStyle w:val="ListBullet2"/>
            </w:pPr>
            <w:r w:rsidRPr="005B4266">
              <w:t>care and safe use</w:t>
            </w:r>
          </w:p>
          <w:p w:rsidR="00000000" w:rsidRPr="005B4266" w:rsidP="005B4266">
            <w:pPr>
              <w:pStyle w:val="ListBullet2"/>
            </w:pPr>
            <w:r w:rsidRPr="005B4266">
              <w:t>operating principles</w:t>
            </w:r>
          </w:p>
          <w:p w:rsidR="00000000" w:rsidRPr="005B4266" w:rsidP="005B4266">
            <w:pPr>
              <w:pStyle w:val="ListBullet2"/>
            </w:pPr>
            <w:r w:rsidRPr="005B4266">
              <w:t>comparison of different operating principle meters used for the same purpose</w:t>
            </w:r>
          </w:p>
          <w:p w:rsidR="00000000" w:rsidRPr="005B4266" w:rsidP="005B4266">
            <w:pPr>
              <w:pStyle w:val="ListBullet2"/>
            </w:pPr>
            <w:r w:rsidRPr="005B4266">
              <w:t xml:space="preserve">accuracy and loading effects of meters: </w:t>
            </w:r>
          </w:p>
          <w:p w:rsidR="00000000" w:rsidRPr="005B4266" w:rsidP="005B4266">
            <w:pPr>
              <w:pStyle w:val="ListBullet3"/>
            </w:pPr>
            <w:r w:rsidRPr="005B4266">
              <w:t>measurement of voltage, current, power, reactive power, phase angle, resistance, inductance, capacitance, impedance, frequency, harmonics</w:t>
            </w:r>
            <w:r w:rsidRPr="005B4266">
              <w:t xml:space="preserve"> and the use of transient and data logging devices</w:t>
            </w:r>
          </w:p>
          <w:p w:rsidR="00000000" w:rsidRPr="005B4266" w:rsidP="005B4266">
            <w:pPr>
              <w:pStyle w:val="ListBullet"/>
            </w:pPr>
            <w:r w:rsidRPr="005B4266">
              <w:t>quality of supply measures encompassing:</w:t>
            </w:r>
          </w:p>
          <w:p w:rsidR="00000000" w:rsidRPr="005B4266" w:rsidP="005B4266">
            <w:pPr>
              <w:pStyle w:val="ListBullet3"/>
            </w:pPr>
            <w:r w:rsidRPr="005B4266">
              <w:t xml:space="preserve">measure, analysis and solutions for the following; </w:t>
            </w:r>
          </w:p>
          <w:p w:rsidR="00000000" w:rsidRPr="005B4266" w:rsidP="005B4266">
            <w:pPr>
              <w:pStyle w:val="ListBullet3"/>
            </w:pPr>
            <w:r w:rsidRPr="005B4266">
              <w:t>voltage variation outside of standards</w:t>
            </w:r>
          </w:p>
          <w:p w:rsidR="00000000" w:rsidRPr="005B4266" w:rsidP="005B4266">
            <w:pPr>
              <w:pStyle w:val="ListBullet3"/>
            </w:pPr>
            <w:r w:rsidRPr="005B4266">
              <w:t>voltage sags and swells</w:t>
            </w:r>
          </w:p>
          <w:p w:rsidR="00000000" w:rsidRPr="005B4266" w:rsidP="005B4266">
            <w:pPr>
              <w:pStyle w:val="ListBullet3"/>
            </w:pPr>
            <w:r w:rsidRPr="005B4266">
              <w:t>repeated fluctuations, impulses and momentary interruptions</w:t>
            </w:r>
          </w:p>
          <w:p w:rsidR="00000000" w:rsidRPr="005B4266" w:rsidP="005B4266">
            <w:pPr>
              <w:pStyle w:val="ListBullet3"/>
            </w:pPr>
            <w:r w:rsidRPr="005B4266">
              <w:t>frequency variation and harmonics - causes, effects and methods of minimisation.</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14" w:name="O_1002541"/>
      <w:bookmarkEnd w:id="14"/>
      <w:r w:rsidRPr="005B4266">
        <w:t>Assessment Conditions</w:t>
      </w:r>
    </w:p>
    <w:tbl>
      <w:tblPr>
        <w:tblW w:w="9497" w:type="dxa"/>
        <w:tblLayout w:type="fixed"/>
        <w:tblCellMar>
          <w:left w:w="62" w:type="dxa"/>
          <w:right w:w="62" w:type="dxa"/>
        </w:tblCellMar>
        <w:tblLook w:val="0000"/>
      </w:tblPr>
      <w:tblGrid>
        <w:gridCol w:w="9497"/>
      </w:tblGrid>
      <w:tr w:rsidTr="005B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266" w:rsidP="005B4266">
            <w:pPr>
              <w:pStyle w:val="BodyText"/>
            </w:pPr>
            <w:r w:rsidRPr="005B4266">
              <w:t>Assessors must hold credentials specified within the Standards for Registered Training Organisations current at the time of assessment.</w:t>
            </w:r>
          </w:p>
          <w:p w:rsidR="00000000" w:rsidRPr="005B4266" w:rsidP="005B4266">
            <w:pPr>
              <w:pStyle w:val="BodyText"/>
            </w:pPr>
            <w:r w:rsidRPr="005B4266">
              <w:t>Assessment must satisfy the Principles of Assessment and Rules of Evidence and all regulatory requirements included with</w:t>
            </w:r>
            <w:r w:rsidRPr="005B4266">
              <w:t>in the Standards for Registered Training Organisations current at the time of assessment.</w:t>
            </w:r>
          </w:p>
          <w:p w:rsidR="00000000" w:rsidRPr="005B4266" w:rsidP="005B4266">
            <w:pPr>
              <w:pStyle w:val="BodyText"/>
            </w:pPr>
            <w:r w:rsidRPr="005B4266">
              <w:t>Assessment must occur in workplace operational situations where it is appropriate to do so; where this is not appropriate, assessment must occur in simulated conditio</w:t>
            </w:r>
            <w:r w:rsidRPr="005B4266">
              <w:t>ns involving realistic and authentic activities that replicate operational workplace conditions.</w:t>
            </w:r>
          </w:p>
          <w:p w:rsidR="00000000" w:rsidRPr="005B4266" w:rsidP="005B4266">
            <w:pPr>
              <w:pStyle w:val="BodyText"/>
            </w:pPr>
            <w:r w:rsidRPr="005B4266">
              <w:t>Assessment processes and techniques must be appropriate to the language, literacy and numeracy requirements of the work being performed and the needs of the ca</w:t>
            </w:r>
            <w:r w:rsidRPr="005B4266">
              <w:t>ndidate.</w:t>
            </w:r>
          </w:p>
          <w:p w:rsidR="00000000" w:rsidRPr="005B4266" w:rsidP="005B4266">
            <w:pPr>
              <w:pStyle w:val="BodyText"/>
            </w:pPr>
            <w:r w:rsidRPr="005B4266">
              <w:t>Resources for assessment must include access to:</w:t>
            </w:r>
          </w:p>
          <w:p w:rsidR="00000000" w:rsidRPr="005B4266" w:rsidP="005B4266">
            <w:pPr>
              <w:pStyle w:val="ListBullet"/>
            </w:pPr>
            <w:r w:rsidRPr="005B4266">
              <w:t>a range of relevant exercises, case studies and/or other simulations</w:t>
            </w:r>
          </w:p>
          <w:p w:rsidR="00000000" w:rsidRPr="005B4266" w:rsidP="005B4266">
            <w:pPr>
              <w:pStyle w:val="ListBullet"/>
            </w:pPr>
            <w:r w:rsidRPr="005B4266">
              <w:t>relevant and appropriate materials, tools, facilities, equipment and personal protective equipment (PPE) currently used in indus</w:t>
            </w:r>
            <w:r w:rsidRPr="005B4266">
              <w:t>try to investigate quality of supply issues</w:t>
            </w:r>
          </w:p>
          <w:p w:rsidR="00000000" w:rsidRPr="005B4266" w:rsidP="005B4266">
            <w:pPr>
              <w:pStyle w:val="ListBullet"/>
            </w:pPr>
            <w:r w:rsidRPr="005B4266">
              <w:t>applicable documentation, including workplace procedures, relevant industry standards, equipment specifications, regulations, codes of practice and operation manuals.</w:t>
            </w:r>
          </w:p>
        </w:tc>
      </w:tr>
    </w:tbl>
    <w:p w:rsidR="00000000" w:rsidRPr="005B4266" w:rsidP="005B4266">
      <w:pPr>
        <w:pStyle w:val="NoPaddingFontSize1"/>
      </w:pPr>
    </w:p>
    <w:p w:rsidR="00000000" w:rsidRPr="005B4266" w:rsidP="005B4266">
      <w:pPr>
        <w:pStyle w:val="AllowPageBreak"/>
      </w:pPr>
    </w:p>
    <w:p w:rsidR="00000000" w:rsidRPr="005B4266" w:rsidP="005B4266">
      <w:pPr>
        <w:pStyle w:val="Heading1"/>
      </w:pPr>
      <w:bookmarkStart w:id="15" w:name="O_1002544"/>
      <w:bookmarkEnd w:id="15"/>
      <w:r w:rsidRPr="005B4266">
        <w:t>Links</w:t>
      </w:r>
    </w:p>
    <w:p w:rsidR="00000000" w:rsidRPr="005B4266" w:rsidP="00FC5CC2">
      <w:pPr>
        <w:pStyle w:val="BodyText"/>
      </w:pPr>
      <w:r w:rsidRPr="005B426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543F0">
        <w:rPr>
          <w:rStyle w:val="Hyperlink"/>
        </w:rPr>
        <w:t>https://vetnet.gov.au/Pages/TrainingDocs.aspx?q=229bace1-b7bc-4653-9300-dffb13ecfad7</w:t>
      </w:r>
      <w:r>
        <w:fldChar w:fldCharType="end"/>
      </w:r>
    </w:p>
    <w:p w:rsidR="00000000" w:rsidRPr="005B4266" w:rsidP="005B4266"/>
    <w:sectPr w:rsidSect="005B42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rsidRPr="00FC5CC2" w:rsidP="00FC5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C2" w:rsidP="005B4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5CC2" w:rsidP="005B42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5CC2" w:rsidP="005B42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rsidP="005B4266">
    <w:pPr>
      <w:pStyle w:val="Footer"/>
      <w:framePr w:wrap="around"/>
    </w:pPr>
    <w:r>
      <w:fldChar w:fldCharType="begin"/>
    </w:r>
    <w:r>
      <w:instrText xml:space="preserve"> DOCPROPERTY  Subject  \* MERGEFORMAT </w:instrText>
    </w:r>
    <w:r>
      <w:fldChar w:fldCharType="separate"/>
    </w:r>
    <w:r w:rsidR="00FC5CC2">
      <w:t>Approved</w:t>
    </w:r>
    <w:r w:rsidR="00FC5CC2">
      <w:fldChar w:fldCharType="end"/>
    </w:r>
    <w:r>
      <w:tab/>
      <w:t xml:space="preserve">Page </w:t>
    </w:r>
    <w:r>
      <w:fldChar w:fldCharType="begin"/>
    </w:r>
    <w:r>
      <w:instrText xml:space="preserve"> PAGE  \* Arabic  \* MERGEFORMAT </w:instrText>
    </w:r>
    <w:r>
      <w:fldChar w:fldCharType="separate"/>
    </w:r>
    <w:r w:rsidR="00FC5C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CC2">
      <w:rPr>
        <w:noProof/>
      </w:rPr>
      <w:t>5</w:t>
    </w:r>
    <w:r>
      <w:rPr>
        <w:noProof/>
      </w:rPr>
      <w:fldChar w:fldCharType="end"/>
    </w:r>
  </w:p>
  <w:p w:rsidR="005B4266" w:rsidP="005B4266">
    <w:pPr>
      <w:pStyle w:val="Footer"/>
      <w:framePr w:wrap="around"/>
    </w:pPr>
    <w:r>
      <w:t xml:space="preserve">© Commonwealth of Australia, </w:t>
    </w:r>
    <w:r>
      <w:fldChar w:fldCharType="begin"/>
    </w:r>
    <w:r>
      <w:instrText xml:space="preserve"> DATE  \@ "yyyy"  \* MERGEFORMAT </w:instrText>
    </w:r>
    <w:r>
      <w:fldChar w:fldCharType="separate"/>
    </w:r>
    <w:r w:rsidR="00FC5CC2">
      <w:rPr>
        <w:noProof/>
      </w:rPr>
      <w:t>2025</w:t>
    </w:r>
    <w:r>
      <w:fldChar w:fldCharType="end"/>
    </w:r>
    <w:r>
      <w:tab/>
    </w:r>
    <w:r>
      <w:fldChar w:fldCharType="begin"/>
    </w:r>
    <w:r>
      <w:instrText xml:space="preserve"> DOCPROPERTY  Author  \* MERGEFORMAT </w:instrText>
    </w:r>
    <w:r>
      <w:fldChar w:fldCharType="separate"/>
    </w:r>
    <w:r w:rsidR="00FC5CC2">
      <w:t>Powering Skills Organisation</w:t>
    </w:r>
    <w:r w:rsidR="00FC5CC2">
      <w:fldChar w:fldCharType="end"/>
    </w:r>
  </w:p>
  <w:p w:rsidR="005B4266" w:rsidP="005B4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266" w:rsidRPr="00FC5CC2" w:rsidP="00FC5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C2" w:rsidRPr="002D2AF8" w:rsidP="005B4266">
    <w:pPr>
      <w:pStyle w:val="Header"/>
      <w:framePr w:wrap="around"/>
    </w:pPr>
    <w:r>
      <w:fldChar w:fldCharType="begin"/>
    </w:r>
    <w:r>
      <w:instrText xml:space="preserve"> TITLE   \* MERGEFORMAT </w:instrText>
    </w:r>
    <w:r>
      <w:fldChar w:fldCharType="separate"/>
    </w:r>
    <w:r>
      <w:t>UETTDRDS42 Investigate quality of power systems supply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5CC2" w:rsidP="005B42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66" w:rsidRPr="002D2AF8" w:rsidP="005B4266">
    <w:pPr>
      <w:pStyle w:val="Header"/>
      <w:framePr w:wrap="around"/>
    </w:pPr>
    <w:r>
      <w:fldChar w:fldCharType="begin"/>
    </w:r>
    <w:r>
      <w:instrText xml:space="preserve"> TITLE   \* MERGEFORMAT </w:instrText>
    </w:r>
    <w:r>
      <w:fldChar w:fldCharType="separate"/>
    </w:r>
    <w:r w:rsidR="00FC5CC2">
      <w:t>UETTDRDS42 Investigate quality of power systems supply issues</w:t>
    </w:r>
    <w:r w:rsidR="00FC5CC2">
      <w:fldChar w:fldCharType="end"/>
    </w:r>
    <w:r>
      <w:tab/>
      <w:t xml:space="preserve">Date this document was generated: </w:t>
    </w:r>
    <w:r>
      <w:fldChar w:fldCharType="begin"/>
    </w:r>
    <w:r>
      <w:instrText xml:space="preserve"> CREATEDATE  \@ "d MMMM yyyy"  \* MERGEFORMAT </w:instrText>
    </w:r>
    <w:r>
      <w:fldChar w:fldCharType="separate"/>
    </w:r>
    <w:r w:rsidR="00FC5CC2">
      <w:rPr>
        <w:noProof/>
      </w:rPr>
      <w:t>1 March 2025</w:t>
    </w:r>
    <w:r>
      <w:fldChar w:fldCharType="end"/>
    </w:r>
  </w:p>
  <w:p w:rsidR="005B4266" w:rsidP="005B4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45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60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E4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266"/>
    <w:pPr>
      <w:spacing w:before="360" w:after="60"/>
      <w:outlineLvl w:val="0"/>
    </w:pPr>
    <w:rPr>
      <w:sz w:val="32"/>
    </w:rPr>
  </w:style>
  <w:style w:type="paragraph" w:styleId="Heading2">
    <w:name w:val="heading 2"/>
    <w:basedOn w:val="HeadingBase"/>
    <w:next w:val="BodyText"/>
    <w:link w:val="Heading2Char"/>
    <w:qFormat/>
    <w:rsid w:val="005B4266"/>
    <w:pPr>
      <w:keepLines/>
      <w:spacing w:before="240" w:after="120"/>
      <w:outlineLvl w:val="1"/>
    </w:pPr>
    <w:rPr>
      <w:sz w:val="28"/>
      <w:szCs w:val="40"/>
    </w:rPr>
  </w:style>
  <w:style w:type="paragraph" w:styleId="Heading3">
    <w:name w:val="heading 3"/>
    <w:basedOn w:val="HeadingBase"/>
    <w:next w:val="BodyText"/>
    <w:link w:val="Heading3Char"/>
    <w:qFormat/>
    <w:rsid w:val="005B4266"/>
    <w:pPr>
      <w:spacing w:before="180" w:after="120"/>
      <w:outlineLvl w:val="2"/>
    </w:pPr>
    <w:rPr>
      <w:spacing w:val="-10"/>
      <w:kern w:val="32"/>
    </w:rPr>
  </w:style>
  <w:style w:type="paragraph" w:styleId="Heading4">
    <w:name w:val="heading 4"/>
    <w:basedOn w:val="HeadingBase"/>
    <w:next w:val="BodyText"/>
    <w:link w:val="Heading4Char"/>
    <w:qFormat/>
    <w:rsid w:val="005B4266"/>
    <w:pPr>
      <w:spacing w:before="160" w:after="120"/>
      <w:outlineLvl w:val="3"/>
    </w:pPr>
    <w:rPr>
      <w:sz w:val="22"/>
    </w:rPr>
  </w:style>
  <w:style w:type="paragraph" w:styleId="Heading5">
    <w:name w:val="heading 5"/>
    <w:basedOn w:val="HeadingBase"/>
    <w:next w:val="Normal"/>
    <w:link w:val="Heading5Char"/>
    <w:qFormat/>
    <w:rsid w:val="005B4266"/>
    <w:pPr>
      <w:spacing w:before="80"/>
      <w:outlineLvl w:val="4"/>
    </w:pPr>
    <w:rPr>
      <w:color w:val="918585"/>
      <w:sz w:val="20"/>
    </w:rPr>
  </w:style>
  <w:style w:type="paragraph" w:styleId="Heading6">
    <w:name w:val="heading 6"/>
    <w:basedOn w:val="HeadingBase"/>
    <w:next w:val="Normal"/>
    <w:link w:val="Heading6Char"/>
    <w:qFormat/>
    <w:rsid w:val="005B4266"/>
    <w:pPr>
      <w:spacing w:before="60"/>
      <w:outlineLvl w:val="5"/>
    </w:pPr>
    <w:rPr>
      <w:color w:val="918585"/>
      <w:sz w:val="20"/>
    </w:rPr>
  </w:style>
  <w:style w:type="paragraph" w:styleId="Heading7">
    <w:name w:val="heading 7"/>
    <w:basedOn w:val="Normal"/>
    <w:next w:val="Normal"/>
    <w:link w:val="Heading7Char"/>
    <w:qFormat/>
    <w:rsid w:val="005B4266"/>
    <w:pPr>
      <w:ind w:left="720"/>
      <w:outlineLvl w:val="6"/>
    </w:pPr>
    <w:rPr>
      <w:i/>
    </w:rPr>
  </w:style>
  <w:style w:type="paragraph" w:styleId="Heading8">
    <w:name w:val="heading 8"/>
    <w:basedOn w:val="Normal"/>
    <w:next w:val="Normal"/>
    <w:link w:val="Heading8Char"/>
    <w:qFormat/>
    <w:rsid w:val="005B4266"/>
    <w:pPr>
      <w:ind w:left="720"/>
      <w:outlineLvl w:val="7"/>
    </w:pPr>
    <w:rPr>
      <w:i/>
    </w:rPr>
  </w:style>
  <w:style w:type="paragraph" w:styleId="Heading9">
    <w:name w:val="heading 9"/>
    <w:basedOn w:val="Normal"/>
    <w:next w:val="Normal"/>
    <w:link w:val="Heading9Char"/>
    <w:qFormat/>
    <w:rsid w:val="005B4266"/>
    <w:pPr>
      <w:ind w:left="720"/>
      <w:outlineLvl w:val="8"/>
    </w:pPr>
    <w:rPr>
      <w:i/>
    </w:rPr>
  </w:style>
  <w:style w:type="character" w:default="1" w:styleId="DefaultParagraphFont">
    <w:name w:val="Default Paragraph Font"/>
    <w:uiPriority w:val="1"/>
    <w:unhideWhenUsed/>
    <w:rsid w:val="005B4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266"/>
  </w:style>
  <w:style w:type="character" w:customStyle="1" w:styleId="Heading1Char">
    <w:name w:val="Heading 1 Char"/>
    <w:basedOn w:val="DefaultParagraphFont"/>
    <w:link w:val="Heading1"/>
    <w:rsid w:val="005B4266"/>
    <w:rPr>
      <w:rFonts w:ascii="Times New Roman" w:eastAsia="Times New Roman" w:hAnsi="Times New Roman" w:cs="Times New Roman"/>
      <w:b/>
      <w:sz w:val="32"/>
      <w:szCs w:val="20"/>
      <w:lang w:eastAsia="en-US"/>
    </w:rPr>
  </w:style>
  <w:style w:type="paragraph" w:styleId="BodyText">
    <w:name w:val="Body Text"/>
    <w:basedOn w:val="Normal"/>
    <w:link w:val="BodyTextChar"/>
    <w:rsid w:val="005B4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266"/>
    <w:rPr>
      <w:rFonts w:ascii="Times New Roman" w:eastAsia="Times New Roman" w:hAnsi="Times New Roman" w:cs="Times New Roman"/>
      <w:sz w:val="24"/>
      <w:lang w:eastAsia="en-US"/>
    </w:rPr>
  </w:style>
  <w:style w:type="paragraph" w:styleId="ListBullet">
    <w:name w:val="List Bullet"/>
    <w:basedOn w:val="List"/>
    <w:rsid w:val="005B4266"/>
    <w:pPr>
      <w:numPr>
        <w:numId w:val="13"/>
      </w:numPr>
      <w:tabs>
        <w:tab w:val="clear" w:pos="340"/>
      </w:tabs>
      <w:spacing w:before="40" w:after="40"/>
    </w:pPr>
  </w:style>
  <w:style w:type="character" w:customStyle="1" w:styleId="SpecialBold">
    <w:name w:val="Special Bold"/>
    <w:basedOn w:val="DefaultParagraphFont"/>
    <w:rsid w:val="005B4266"/>
    <w:rPr>
      <w:b/>
      <w:spacing w:val="0"/>
    </w:rPr>
  </w:style>
  <w:style w:type="paragraph" w:styleId="ListBullet2">
    <w:name w:val="List Bullet 2"/>
    <w:basedOn w:val="List2"/>
    <w:rsid w:val="005B4266"/>
    <w:pPr>
      <w:numPr>
        <w:numId w:val="14"/>
      </w:numPr>
      <w:tabs>
        <w:tab w:val="clear" w:pos="680"/>
      </w:tabs>
    </w:pPr>
  </w:style>
  <w:style w:type="paragraph" w:customStyle="1" w:styleId="SuperHeading">
    <w:name w:val="SuperHeading"/>
    <w:basedOn w:val="Normal"/>
    <w:rsid w:val="005B4266"/>
    <w:pPr>
      <w:spacing w:before="240" w:after="120"/>
      <w:outlineLvl w:val="0"/>
    </w:pPr>
    <w:rPr>
      <w:rFonts w:ascii="Times New Roman" w:hAnsi="Times New Roman"/>
      <w:b/>
      <w:sz w:val="32"/>
    </w:rPr>
  </w:style>
  <w:style w:type="paragraph" w:customStyle="1" w:styleId="AllowPageBreak">
    <w:name w:val="AllowPageBreak"/>
    <w:rsid w:val="005B42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426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266"/>
    <w:rPr>
      <w:rFonts w:ascii="Courier New" w:eastAsia="Times New Roman" w:hAnsi="Courier New" w:cs="Times New Roman"/>
      <w:i/>
      <w:szCs w:val="20"/>
      <w:lang w:eastAsia="en-US"/>
    </w:rPr>
  </w:style>
  <w:style w:type="paragraph" w:customStyle="1" w:styleId="HeadingBase">
    <w:name w:val="Heading Base"/>
    <w:rsid w:val="005B4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266"/>
    <w:pPr>
      <w:tabs>
        <w:tab w:val="right" w:leader="dot" w:pos="9072"/>
      </w:tabs>
      <w:ind w:left="567"/>
    </w:pPr>
    <w:rPr>
      <w:szCs w:val="22"/>
    </w:rPr>
  </w:style>
  <w:style w:type="paragraph" w:customStyle="1" w:styleId="TOCBase">
    <w:name w:val="TOC Base"/>
    <w:rsid w:val="005B4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266"/>
    <w:pPr>
      <w:tabs>
        <w:tab w:val="right" w:leader="dot" w:pos="9072"/>
      </w:tabs>
      <w:spacing w:before="40" w:after="40"/>
      <w:ind w:left="284"/>
    </w:pPr>
    <w:rPr>
      <w:rFonts w:ascii="Times New Roman" w:hAnsi="Times New Roman"/>
    </w:rPr>
  </w:style>
  <w:style w:type="paragraph" w:styleId="TOC1">
    <w:name w:val="toc 1"/>
    <w:basedOn w:val="TOCBase"/>
    <w:next w:val="Normal"/>
    <w:rsid w:val="005B4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266"/>
    <w:rPr>
      <w:rFonts w:ascii="Times New Roman" w:eastAsia="Times New Roman" w:hAnsi="Times New Roman" w:cs="Times New Roman"/>
      <w:sz w:val="16"/>
      <w:lang w:eastAsia="en-US"/>
    </w:rPr>
  </w:style>
  <w:style w:type="paragraph" w:styleId="Title">
    <w:name w:val="Title"/>
    <w:basedOn w:val="HeadingBase"/>
    <w:link w:val="TitleChar"/>
    <w:qFormat/>
    <w:rsid w:val="005B4266"/>
    <w:pPr>
      <w:spacing w:before="5040"/>
      <w:jc w:val="center"/>
    </w:pPr>
    <w:rPr>
      <w:sz w:val="48"/>
      <w:szCs w:val="72"/>
      <w:lang w:val="en-US"/>
    </w:rPr>
  </w:style>
  <w:style w:type="character" w:customStyle="1" w:styleId="TitleChar">
    <w:name w:val="Title Char"/>
    <w:basedOn w:val="DefaultParagraphFont"/>
    <w:link w:val="Title"/>
    <w:rsid w:val="005B4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266"/>
    <w:pPr>
      <w:tabs>
        <w:tab w:val="left" w:pos="3600"/>
        <w:tab w:val="left" w:pos="3958"/>
      </w:tabs>
    </w:pPr>
  </w:style>
  <w:style w:type="paragraph" w:styleId="List">
    <w:name w:val="List"/>
    <w:basedOn w:val="BodyText"/>
    <w:next w:val="BodyText"/>
    <w:rsid w:val="005B4266"/>
    <w:pPr>
      <w:tabs>
        <w:tab w:val="left" w:pos="340"/>
      </w:tabs>
      <w:spacing w:before="60" w:after="60"/>
      <w:ind w:left="340" w:hanging="340"/>
    </w:pPr>
  </w:style>
  <w:style w:type="paragraph" w:customStyle="1" w:styleId="Note">
    <w:name w:val="Note"/>
    <w:basedOn w:val="BodyText"/>
    <w:rsid w:val="005B4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266"/>
    <w:pPr>
      <w:framePr w:wrap="auto" w:hAnchor="text" w:y="6049"/>
    </w:pPr>
    <w:rPr>
      <w:color w:val="000000"/>
      <w:sz w:val="40"/>
    </w:rPr>
  </w:style>
  <w:style w:type="paragraph" w:customStyle="1" w:styleId="TOCTitle">
    <w:name w:val="TOCTitle"/>
    <w:basedOn w:val="Heading1"/>
    <w:rsid w:val="005B4266"/>
    <w:pPr>
      <w:spacing w:after="240"/>
      <w:jc w:val="center"/>
      <w:outlineLvl w:val="9"/>
    </w:pPr>
    <w:rPr>
      <w:caps/>
    </w:rPr>
  </w:style>
  <w:style w:type="paragraph" w:customStyle="1" w:styleId="Version">
    <w:name w:val="Version"/>
    <w:rsid w:val="005B4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266"/>
    <w:pPr>
      <w:keepNext w:val="0"/>
      <w:tabs>
        <w:tab w:val="right" w:pos="4176"/>
      </w:tabs>
      <w:ind w:left="198" w:hanging="198"/>
    </w:pPr>
    <w:rPr>
      <w:rFonts w:ascii="Garamond" w:hAnsi="Garamond"/>
    </w:rPr>
  </w:style>
  <w:style w:type="paragraph" w:styleId="IndexHeading">
    <w:name w:val="index heading"/>
    <w:basedOn w:val="Normal"/>
    <w:next w:val="Index1"/>
    <w:semiHidden/>
    <w:rsid w:val="005B4266"/>
    <w:pPr>
      <w:spacing w:before="120" w:after="120"/>
    </w:pPr>
    <w:rPr>
      <w:rFonts w:ascii="Arial" w:hAnsi="Arial"/>
      <w:b/>
      <w:color w:val="918585"/>
      <w:sz w:val="24"/>
    </w:rPr>
  </w:style>
  <w:style w:type="paragraph" w:styleId="Header">
    <w:name w:val="header"/>
    <w:basedOn w:val="Normal"/>
    <w:link w:val="HeaderChar"/>
    <w:rsid w:val="005B4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266"/>
    <w:rPr>
      <w:rFonts w:ascii="Times New Roman" w:eastAsia="Times New Roman" w:hAnsi="Times New Roman" w:cs="Times New Roman"/>
      <w:sz w:val="16"/>
      <w:szCs w:val="20"/>
      <w:lang w:val="en-GB" w:eastAsia="en-US"/>
    </w:rPr>
  </w:style>
  <w:style w:type="paragraph" w:customStyle="1" w:styleId="Chapter">
    <w:name w:val="Chapter"/>
    <w:basedOn w:val="Normal"/>
    <w:rsid w:val="005B4266"/>
    <w:pPr>
      <w:spacing w:before="240"/>
    </w:pPr>
    <w:rPr>
      <w:rFonts w:ascii="Times New Roman" w:hAnsi="Times New Roman"/>
      <w:smallCaps/>
      <w:spacing w:val="80"/>
      <w:sz w:val="28"/>
    </w:rPr>
  </w:style>
  <w:style w:type="paragraph" w:customStyle="1" w:styleId="InChapter">
    <w:name w:val="InChapter"/>
    <w:basedOn w:val="Heading3"/>
    <w:rsid w:val="005B4266"/>
    <w:pPr>
      <w:spacing w:after="240"/>
      <w:outlineLvl w:val="9"/>
    </w:pPr>
    <w:rPr>
      <w:noProof/>
    </w:rPr>
  </w:style>
  <w:style w:type="paragraph" w:styleId="Index2">
    <w:name w:val="index 2"/>
    <w:basedOn w:val="Normal"/>
    <w:next w:val="Normal"/>
    <w:semiHidden/>
    <w:rsid w:val="005B4266"/>
    <w:pPr>
      <w:tabs>
        <w:tab w:val="right" w:pos="4176"/>
      </w:tabs>
      <w:ind w:left="568" w:hanging="284"/>
    </w:pPr>
    <w:rPr>
      <w:rFonts w:ascii="Garamond" w:hAnsi="Garamond"/>
    </w:rPr>
  </w:style>
  <w:style w:type="paragraph" w:customStyle="1" w:styleId="Byline">
    <w:name w:val="Byline"/>
    <w:rsid w:val="005B4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266"/>
    <w:pPr>
      <w:tabs>
        <w:tab w:val="clear" w:pos="3600"/>
        <w:tab w:val="clear" w:pos="3958"/>
      </w:tabs>
      <w:jc w:val="right"/>
    </w:pPr>
  </w:style>
  <w:style w:type="character" w:styleId="Emphasis">
    <w:name w:val="Emphasis"/>
    <w:basedOn w:val="DefaultParagraphFont"/>
    <w:qFormat/>
    <w:rsid w:val="005B4266"/>
    <w:rPr>
      <w:i/>
    </w:rPr>
  </w:style>
  <w:style w:type="paragraph" w:styleId="Caption">
    <w:name w:val="caption"/>
    <w:basedOn w:val="BodyText"/>
    <w:next w:val="Normal"/>
    <w:qFormat/>
    <w:rsid w:val="005B4266"/>
    <w:pPr>
      <w:framePr w:w="2268" w:hSpace="181" w:vSpace="181" w:wrap="around" w:vAnchor="text" w:hAnchor="page" w:x="1135" w:y="285" w:anchorLock="1"/>
    </w:pPr>
    <w:rPr>
      <w:i/>
    </w:rPr>
  </w:style>
  <w:style w:type="paragraph" w:customStyle="1" w:styleId="MiniTOCTitle">
    <w:name w:val="MiniTOCTitle"/>
    <w:basedOn w:val="Heading4"/>
    <w:rsid w:val="005B4266"/>
    <w:pPr>
      <w:spacing w:before="240"/>
      <w:outlineLvl w:val="9"/>
    </w:pPr>
    <w:rPr>
      <w:noProof/>
      <w:sz w:val="24"/>
    </w:rPr>
  </w:style>
  <w:style w:type="paragraph" w:customStyle="1" w:styleId="MiniTOCItem">
    <w:name w:val="MiniTOCItem"/>
    <w:basedOn w:val="ListBullet"/>
    <w:rsid w:val="005B4266"/>
    <w:pPr>
      <w:numPr>
        <w:numId w:val="0"/>
      </w:numPr>
      <w:tabs>
        <w:tab w:val="right" w:leader="dot" w:pos="6521"/>
      </w:tabs>
      <w:spacing w:before="0" w:after="0"/>
    </w:pPr>
  </w:style>
  <w:style w:type="paragraph" w:customStyle="1" w:styleId="TOFTitle">
    <w:name w:val="TOFTitle"/>
    <w:basedOn w:val="TOCTitle"/>
    <w:rsid w:val="005B4266"/>
  </w:style>
  <w:style w:type="paragraph" w:styleId="TableofFigures">
    <w:name w:val="table of figures"/>
    <w:basedOn w:val="Normal"/>
    <w:next w:val="Normal"/>
    <w:semiHidden/>
    <w:rsid w:val="005B4266"/>
    <w:pPr>
      <w:tabs>
        <w:tab w:val="right" w:leader="dot" w:pos="9072"/>
      </w:tabs>
      <w:ind w:left="970" w:hanging="403"/>
    </w:pPr>
    <w:rPr>
      <w:rFonts w:ascii="Times New Roman" w:hAnsi="Times New Roman"/>
      <w:b/>
    </w:rPr>
  </w:style>
  <w:style w:type="paragraph" w:styleId="ListNumber">
    <w:name w:val="List Number"/>
    <w:basedOn w:val="List"/>
    <w:rsid w:val="005B4266"/>
    <w:pPr>
      <w:numPr>
        <w:numId w:val="16"/>
      </w:numPr>
      <w:tabs>
        <w:tab w:val="clear" w:pos="340"/>
      </w:tabs>
    </w:pPr>
  </w:style>
  <w:style w:type="character" w:customStyle="1" w:styleId="WingdingSymbols">
    <w:name w:val="Wingding Symbols"/>
    <w:rsid w:val="005B4266"/>
    <w:rPr>
      <w:rFonts w:ascii="Wingdings" w:hAnsi="Wingdings"/>
    </w:rPr>
  </w:style>
  <w:style w:type="paragraph" w:customStyle="1" w:styleId="TableHeading">
    <w:name w:val="Table Heading"/>
    <w:basedOn w:val="HeadingBase"/>
    <w:rsid w:val="005B4266"/>
    <w:pPr>
      <w:keepLines/>
      <w:pBdr>
        <w:bottom w:val="single" w:sz="6" w:space="1" w:color="918585"/>
      </w:pBdr>
      <w:spacing w:before="240"/>
    </w:pPr>
  </w:style>
  <w:style w:type="character" w:customStyle="1" w:styleId="HotSpot">
    <w:name w:val="HotSpot"/>
    <w:rsid w:val="005B4266"/>
    <w:rPr>
      <w:color w:val="0033CC"/>
      <w:u w:val="none"/>
    </w:rPr>
  </w:style>
  <w:style w:type="paragraph" w:customStyle="1" w:styleId="BodyTextRight">
    <w:name w:val="Body Text Right"/>
    <w:basedOn w:val="BodyText"/>
    <w:rsid w:val="005B4266"/>
    <w:pPr>
      <w:spacing w:before="0" w:after="0"/>
      <w:jc w:val="right"/>
    </w:pPr>
  </w:style>
  <w:style w:type="paragraph" w:styleId="Index3">
    <w:name w:val="index 3"/>
    <w:basedOn w:val="ListNumber2"/>
    <w:next w:val="Normal"/>
    <w:semiHidden/>
    <w:rsid w:val="005B4266"/>
    <w:pPr>
      <w:numPr>
        <w:numId w:val="0"/>
      </w:numPr>
      <w:tabs>
        <w:tab w:val="right" w:leader="dot" w:pos="4176"/>
      </w:tabs>
    </w:pPr>
  </w:style>
  <w:style w:type="paragraph" w:styleId="ListNumber2">
    <w:name w:val="List Number 2"/>
    <w:basedOn w:val="List2"/>
    <w:rsid w:val="005B4266"/>
    <w:pPr>
      <w:numPr>
        <w:numId w:val="11"/>
      </w:numPr>
      <w:tabs>
        <w:tab w:val="clear" w:pos="1060"/>
      </w:tabs>
    </w:pPr>
  </w:style>
  <w:style w:type="paragraph" w:customStyle="1" w:styleId="MarginNote">
    <w:name w:val="Margin Note"/>
    <w:basedOn w:val="BodyText"/>
    <w:rsid w:val="005B4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266"/>
    <w:rPr>
      <w:sz w:val="32"/>
    </w:rPr>
  </w:style>
  <w:style w:type="paragraph" w:customStyle="1" w:styleId="HeadingProcedure">
    <w:name w:val="Heading Procedure"/>
    <w:basedOn w:val="HeadingBase"/>
    <w:next w:val="Normal"/>
    <w:rsid w:val="005B4266"/>
    <w:pPr>
      <w:tabs>
        <w:tab w:val="left" w:pos="0"/>
      </w:tabs>
      <w:spacing w:before="120" w:after="60"/>
    </w:pPr>
    <w:rPr>
      <w:i/>
      <w:color w:val="918585"/>
      <w:sz w:val="22"/>
    </w:rPr>
  </w:style>
  <w:style w:type="paragraph" w:customStyle="1" w:styleId="TableBodyText">
    <w:name w:val="Table Body Text"/>
    <w:basedOn w:val="BodyText"/>
    <w:rsid w:val="005B4266"/>
    <w:pPr>
      <w:spacing w:before="60" w:after="60"/>
    </w:pPr>
  </w:style>
  <w:style w:type="paragraph" w:styleId="ListContinue">
    <w:name w:val="List Continue"/>
    <w:basedOn w:val="List"/>
    <w:rsid w:val="005B4266"/>
    <w:pPr>
      <w:ind w:firstLine="0"/>
    </w:pPr>
  </w:style>
  <w:style w:type="paragraph" w:customStyle="1" w:styleId="ListNote">
    <w:name w:val="List Note"/>
    <w:basedOn w:val="List"/>
    <w:rsid w:val="005B4266"/>
    <w:pPr>
      <w:pBdr>
        <w:top w:val="single" w:sz="6" w:space="2" w:color="918585"/>
        <w:bottom w:val="single" w:sz="6" w:space="2" w:color="918585"/>
      </w:pBdr>
      <w:tabs>
        <w:tab w:val="left" w:pos="1021"/>
      </w:tabs>
      <w:ind w:firstLine="0"/>
    </w:pPr>
  </w:style>
  <w:style w:type="paragraph" w:customStyle="1" w:styleId="Warning">
    <w:name w:val="Warning"/>
    <w:basedOn w:val="BodyText"/>
    <w:rsid w:val="005B4266"/>
    <w:pPr>
      <w:shd w:val="clear" w:color="auto" w:fill="D9D9D9"/>
      <w:tabs>
        <w:tab w:val="left" w:pos="992"/>
      </w:tabs>
      <w:ind w:left="119" w:right="119"/>
    </w:pPr>
    <w:rPr>
      <w:sz w:val="20"/>
    </w:rPr>
  </w:style>
  <w:style w:type="paragraph" w:customStyle="1" w:styleId="MarginIcons">
    <w:name w:val="Margin Icons"/>
    <w:basedOn w:val="BodyText"/>
    <w:rsid w:val="005B4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266"/>
    <w:rPr>
      <w:rFonts w:ascii="Courier New" w:hAnsi="Courier New"/>
    </w:rPr>
  </w:style>
  <w:style w:type="paragraph" w:customStyle="1" w:styleId="NoteBullet">
    <w:name w:val="Note Bullet"/>
    <w:basedOn w:val="Note"/>
    <w:rsid w:val="005B4266"/>
    <w:pPr>
      <w:tabs>
        <w:tab w:val="clear" w:pos="680"/>
      </w:tabs>
      <w:spacing w:before="60" w:after="60"/>
    </w:pPr>
  </w:style>
  <w:style w:type="paragraph" w:customStyle="1" w:styleId="SubHeading2">
    <w:name w:val="SubHeading2"/>
    <w:basedOn w:val="HeadingBase"/>
    <w:rsid w:val="005B4266"/>
    <w:pPr>
      <w:spacing w:before="240" w:after="60"/>
    </w:pPr>
    <w:rPr>
      <w:sz w:val="20"/>
    </w:rPr>
  </w:style>
  <w:style w:type="paragraph" w:customStyle="1" w:styleId="SubHeading1">
    <w:name w:val="SubHeading1"/>
    <w:basedOn w:val="HeadingBase"/>
    <w:rsid w:val="005B4266"/>
    <w:pPr>
      <w:spacing w:before="240" w:after="60"/>
    </w:pPr>
    <w:rPr>
      <w:color w:val="918585"/>
      <w:sz w:val="22"/>
    </w:rPr>
  </w:style>
  <w:style w:type="paragraph" w:customStyle="1" w:styleId="SideHeading">
    <w:name w:val="Side Heading"/>
    <w:basedOn w:val="HeadingBase"/>
    <w:rsid w:val="005B4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266"/>
    <w:pPr>
      <w:numPr>
        <w:numId w:val="12"/>
      </w:numPr>
    </w:pPr>
  </w:style>
  <w:style w:type="paragraph" w:styleId="PlainText">
    <w:name w:val="Plain Text"/>
    <w:basedOn w:val="Normal"/>
    <w:link w:val="PlainTextChar"/>
    <w:rsid w:val="005B4266"/>
    <w:rPr>
      <w:sz w:val="20"/>
    </w:rPr>
  </w:style>
  <w:style w:type="character" w:customStyle="1" w:styleId="PlainTextChar">
    <w:name w:val="Plain Text Char"/>
    <w:basedOn w:val="DefaultParagraphFont"/>
    <w:link w:val="PlainText"/>
    <w:rsid w:val="005B4266"/>
    <w:rPr>
      <w:rFonts w:ascii="Courier New" w:eastAsia="Times New Roman" w:hAnsi="Courier New" w:cs="Times New Roman"/>
      <w:sz w:val="20"/>
      <w:szCs w:val="20"/>
      <w:lang w:eastAsia="en-US"/>
    </w:rPr>
  </w:style>
  <w:style w:type="character" w:customStyle="1" w:styleId="MenuOption">
    <w:name w:val="Menu Option"/>
    <w:basedOn w:val="DefaultParagraphFont"/>
    <w:rsid w:val="005B4266"/>
    <w:rPr>
      <w:b/>
      <w:smallCaps/>
    </w:rPr>
  </w:style>
  <w:style w:type="paragraph" w:customStyle="1" w:styleId="TableListNumber">
    <w:name w:val="Table List Number"/>
    <w:basedOn w:val="ListNumber"/>
    <w:rsid w:val="005B4266"/>
    <w:pPr>
      <w:numPr>
        <w:numId w:val="0"/>
      </w:numPr>
    </w:pPr>
  </w:style>
  <w:style w:type="paragraph" w:styleId="TOC4">
    <w:name w:val="toc 4"/>
    <w:basedOn w:val="TOCBase"/>
    <w:next w:val="Normal"/>
    <w:semiHidden/>
    <w:rsid w:val="005B4266"/>
    <w:pPr>
      <w:tabs>
        <w:tab w:val="right" w:leader="dot" w:pos="9071"/>
      </w:tabs>
      <w:ind w:left="1701"/>
    </w:pPr>
  </w:style>
  <w:style w:type="paragraph" w:customStyle="1" w:styleId="ListAlpha">
    <w:name w:val="List Alpha"/>
    <w:basedOn w:val="List"/>
    <w:rsid w:val="005B4266"/>
    <w:pPr>
      <w:numPr>
        <w:numId w:val="10"/>
      </w:numPr>
    </w:pPr>
  </w:style>
  <w:style w:type="paragraph" w:customStyle="1" w:styleId="ListAlpha2">
    <w:name w:val="List Alpha 2"/>
    <w:basedOn w:val="List2"/>
    <w:rsid w:val="005B4266"/>
    <w:pPr>
      <w:numPr>
        <w:numId w:val="9"/>
      </w:numPr>
    </w:pPr>
  </w:style>
  <w:style w:type="paragraph" w:styleId="List2">
    <w:name w:val="List 2"/>
    <w:basedOn w:val="BodyText"/>
    <w:rsid w:val="005B4266"/>
    <w:pPr>
      <w:tabs>
        <w:tab w:val="left" w:pos="680"/>
      </w:tabs>
      <w:spacing w:before="60" w:after="60"/>
      <w:ind w:left="680" w:hanging="340"/>
    </w:pPr>
  </w:style>
  <w:style w:type="paragraph" w:styleId="List3">
    <w:name w:val="List 3"/>
    <w:basedOn w:val="BodyText"/>
    <w:rsid w:val="005B4266"/>
    <w:pPr>
      <w:tabs>
        <w:tab w:val="left" w:pos="1021"/>
      </w:tabs>
      <w:spacing w:before="60" w:after="60"/>
      <w:ind w:left="1020" w:hanging="340"/>
    </w:pPr>
  </w:style>
  <w:style w:type="paragraph" w:styleId="List4">
    <w:name w:val="List 4"/>
    <w:basedOn w:val="BodyText"/>
    <w:rsid w:val="005B4266"/>
    <w:pPr>
      <w:tabs>
        <w:tab w:val="left" w:pos="1361"/>
      </w:tabs>
      <w:spacing w:before="60" w:after="60"/>
      <w:ind w:left="1361" w:hanging="340"/>
    </w:pPr>
  </w:style>
  <w:style w:type="paragraph" w:styleId="List5">
    <w:name w:val="List 5"/>
    <w:basedOn w:val="BodyText"/>
    <w:rsid w:val="005B4266"/>
    <w:pPr>
      <w:tabs>
        <w:tab w:val="left" w:pos="1701"/>
      </w:tabs>
      <w:spacing w:before="60" w:after="60"/>
      <w:ind w:left="1701" w:hanging="340"/>
    </w:pPr>
  </w:style>
  <w:style w:type="paragraph" w:styleId="ListBullet4">
    <w:name w:val="List Bullet 4"/>
    <w:basedOn w:val="List4"/>
    <w:rsid w:val="005B4266"/>
    <w:pPr>
      <w:numPr>
        <w:numId w:val="4"/>
      </w:numPr>
      <w:tabs>
        <w:tab w:val="clear" w:pos="1361"/>
      </w:tabs>
    </w:pPr>
  </w:style>
  <w:style w:type="paragraph" w:styleId="ListBullet5">
    <w:name w:val="List Bullet 5"/>
    <w:basedOn w:val="List5"/>
    <w:rsid w:val="005B4266"/>
    <w:pPr>
      <w:numPr>
        <w:numId w:val="5"/>
      </w:numPr>
    </w:pPr>
  </w:style>
  <w:style w:type="paragraph" w:styleId="ListContinue2">
    <w:name w:val="List Continue 2"/>
    <w:basedOn w:val="List2"/>
    <w:rsid w:val="005B4266"/>
    <w:pPr>
      <w:ind w:firstLine="0"/>
    </w:pPr>
  </w:style>
  <w:style w:type="paragraph" w:styleId="ListContinue3">
    <w:name w:val="List Continue 3"/>
    <w:basedOn w:val="List3"/>
    <w:rsid w:val="005B4266"/>
    <w:pPr>
      <w:ind w:left="1021" w:firstLine="0"/>
    </w:pPr>
  </w:style>
  <w:style w:type="paragraph" w:styleId="ListContinue4">
    <w:name w:val="List Continue 4"/>
    <w:basedOn w:val="List4"/>
    <w:rsid w:val="005B4266"/>
    <w:pPr>
      <w:ind w:firstLine="0"/>
    </w:pPr>
  </w:style>
  <w:style w:type="paragraph" w:styleId="ListContinue5">
    <w:name w:val="List Continue 5"/>
    <w:basedOn w:val="List5"/>
    <w:rsid w:val="005B4266"/>
    <w:pPr>
      <w:ind w:firstLine="0"/>
    </w:pPr>
  </w:style>
  <w:style w:type="paragraph" w:styleId="ListNumber3">
    <w:name w:val="List Number 3"/>
    <w:basedOn w:val="List3"/>
    <w:rsid w:val="005B4266"/>
    <w:pPr>
      <w:numPr>
        <w:numId w:val="6"/>
      </w:numPr>
    </w:pPr>
  </w:style>
  <w:style w:type="paragraph" w:styleId="ListNumber4">
    <w:name w:val="List Number 4"/>
    <w:basedOn w:val="List4"/>
    <w:rsid w:val="005B4266"/>
    <w:pPr>
      <w:numPr>
        <w:numId w:val="7"/>
      </w:numPr>
    </w:pPr>
  </w:style>
  <w:style w:type="paragraph" w:styleId="ListNumber5">
    <w:name w:val="List Number 5"/>
    <w:basedOn w:val="List5"/>
    <w:rsid w:val="005B4266"/>
    <w:pPr>
      <w:numPr>
        <w:numId w:val="8"/>
      </w:numPr>
    </w:pPr>
  </w:style>
  <w:style w:type="paragraph" w:styleId="BlockText">
    <w:name w:val="Block Text"/>
    <w:basedOn w:val="Normal"/>
    <w:rsid w:val="005B4266"/>
    <w:pPr>
      <w:spacing w:after="120"/>
      <w:ind w:left="1440" w:right="1440"/>
    </w:pPr>
  </w:style>
  <w:style w:type="character" w:customStyle="1" w:styleId="Subscript">
    <w:name w:val="Subscript"/>
    <w:basedOn w:val="DefaultParagraphFont"/>
    <w:rsid w:val="005B4266"/>
    <w:rPr>
      <w:sz w:val="16"/>
      <w:vertAlign w:val="subscript"/>
    </w:rPr>
  </w:style>
  <w:style w:type="character" w:customStyle="1" w:styleId="Superscript">
    <w:name w:val="Superscript"/>
    <w:basedOn w:val="DefaultParagraphFont"/>
    <w:rsid w:val="005B4266"/>
    <w:rPr>
      <w:sz w:val="16"/>
      <w:vertAlign w:val="superscript"/>
    </w:rPr>
  </w:style>
  <w:style w:type="character" w:customStyle="1" w:styleId="Symbols">
    <w:name w:val="Symbols"/>
    <w:basedOn w:val="DefaultParagraphFont"/>
    <w:rsid w:val="005B4266"/>
    <w:rPr>
      <w:rFonts w:ascii="Symbol" w:hAnsi="Symbol"/>
    </w:rPr>
  </w:style>
  <w:style w:type="character" w:customStyle="1" w:styleId="MenuOptions">
    <w:name w:val="Menu Options"/>
    <w:basedOn w:val="DefaultParagraphFont"/>
    <w:rsid w:val="005B4266"/>
    <w:rPr>
      <w:rFonts w:ascii="Arial Narrow" w:hAnsi="Arial Narrow"/>
      <w:smallCaps/>
    </w:rPr>
  </w:style>
  <w:style w:type="character" w:customStyle="1" w:styleId="Buttons">
    <w:name w:val="Buttons"/>
    <w:basedOn w:val="DefaultParagraphFont"/>
    <w:rsid w:val="005B4266"/>
    <w:rPr>
      <w:b/>
    </w:rPr>
  </w:style>
  <w:style w:type="character" w:customStyle="1" w:styleId="Underlined">
    <w:name w:val="Underlined"/>
    <w:basedOn w:val="DefaultParagraphFont"/>
    <w:rsid w:val="005B4266"/>
    <w:rPr>
      <w:u w:val="single"/>
    </w:rPr>
  </w:style>
  <w:style w:type="paragraph" w:customStyle="1" w:styleId="TableBodyTextRight">
    <w:name w:val="Table Body Text Right"/>
    <w:basedOn w:val="TableBodyText"/>
    <w:rsid w:val="005B4266"/>
    <w:pPr>
      <w:widowControl w:val="0"/>
      <w:autoSpaceDE w:val="0"/>
      <w:autoSpaceDN w:val="0"/>
      <w:adjustRightInd w:val="0"/>
      <w:jc w:val="right"/>
    </w:pPr>
    <w:rPr>
      <w:rFonts w:cs="Arial"/>
      <w:szCs w:val="18"/>
    </w:rPr>
  </w:style>
  <w:style w:type="paragraph" w:customStyle="1" w:styleId="CopyrightText">
    <w:name w:val="Copyright Text"/>
    <w:basedOn w:val="BodyText"/>
    <w:rsid w:val="005B4266"/>
    <w:rPr>
      <w:sz w:val="18"/>
    </w:rPr>
  </w:style>
  <w:style w:type="paragraph" w:customStyle="1" w:styleId="BodySmallRight">
    <w:name w:val="Body Small Right"/>
    <w:basedOn w:val="BodyTextRight"/>
    <w:rsid w:val="005B4266"/>
    <w:rPr>
      <w:sz w:val="18"/>
      <w:szCs w:val="18"/>
    </w:rPr>
  </w:style>
  <w:style w:type="paragraph" w:customStyle="1" w:styleId="MarginEdition">
    <w:name w:val="Margin Edition"/>
    <w:basedOn w:val="MarginNote"/>
    <w:rsid w:val="005B4266"/>
    <w:pPr>
      <w:spacing w:before="0" w:after="0"/>
    </w:pPr>
    <w:rPr>
      <w:rFonts w:ascii="Times New Roman" w:hAnsi="Times New Roman"/>
      <w:color w:val="999999"/>
    </w:rPr>
  </w:style>
  <w:style w:type="paragraph" w:customStyle="1" w:styleId="Spacer">
    <w:name w:val="Spacer"/>
    <w:basedOn w:val="Normal"/>
    <w:rsid w:val="005B4266"/>
    <w:rPr>
      <w:sz w:val="2"/>
      <w:szCs w:val="2"/>
    </w:rPr>
  </w:style>
  <w:style w:type="character" w:customStyle="1" w:styleId="Small">
    <w:name w:val="Small"/>
    <w:basedOn w:val="DefaultParagraphFont"/>
    <w:rsid w:val="005B4266"/>
    <w:rPr>
      <w:sz w:val="16"/>
    </w:rPr>
  </w:style>
  <w:style w:type="paragraph" w:customStyle="1" w:styleId="WideTable">
    <w:name w:val="Wide Table"/>
    <w:basedOn w:val="Normal"/>
    <w:rsid w:val="005B4266"/>
    <w:pPr>
      <w:ind w:left="-1418"/>
    </w:pPr>
    <w:rPr>
      <w:sz w:val="2"/>
      <w:szCs w:val="2"/>
    </w:rPr>
  </w:style>
  <w:style w:type="character" w:styleId="PageNumber">
    <w:name w:val="page number"/>
    <w:basedOn w:val="DefaultParagraphFont"/>
    <w:rsid w:val="005B4266"/>
  </w:style>
  <w:style w:type="paragraph" w:styleId="Quote">
    <w:name w:val="Quote"/>
    <w:basedOn w:val="Heading1"/>
    <w:link w:val="QuoteChar"/>
    <w:qFormat/>
    <w:rsid w:val="005B4266"/>
    <w:rPr>
      <w:b w:val="0"/>
      <w:sz w:val="72"/>
      <w:szCs w:val="72"/>
      <w:lang w:val="en-NZ"/>
    </w:rPr>
  </w:style>
  <w:style w:type="character" w:customStyle="1" w:styleId="QuoteChar">
    <w:name w:val="Quote Char"/>
    <w:basedOn w:val="DefaultParagraphFont"/>
    <w:link w:val="Quote"/>
    <w:rsid w:val="005B4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266"/>
    <w:pPr>
      <w:pageBreakBefore/>
    </w:pPr>
  </w:style>
  <w:style w:type="paragraph" w:customStyle="1" w:styleId="Border">
    <w:name w:val="Border"/>
    <w:basedOn w:val="Normal"/>
    <w:qFormat/>
    <w:rsid w:val="005B4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266"/>
    <w:rPr>
      <w:b/>
      <w:bCs/>
      <w:i/>
      <w:iCs/>
      <w:color w:val="auto"/>
    </w:rPr>
  </w:style>
  <w:style w:type="paragraph" w:styleId="IntenseQuote">
    <w:name w:val="Intense Quote"/>
    <w:basedOn w:val="Normal"/>
    <w:next w:val="Normal"/>
    <w:link w:val="IntenseQuoteChar"/>
    <w:uiPriority w:val="30"/>
    <w:qFormat/>
    <w:rsid w:val="005B4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266"/>
    <w:rPr>
      <w:smallCaps/>
      <w:color w:val="auto"/>
      <w:u w:val="single"/>
    </w:rPr>
  </w:style>
  <w:style w:type="character" w:styleId="IntenseReference">
    <w:name w:val="Intense Reference"/>
    <w:basedOn w:val="DefaultParagraphFont"/>
    <w:uiPriority w:val="32"/>
    <w:qFormat/>
    <w:rsid w:val="005B4266"/>
    <w:rPr>
      <w:b/>
      <w:bCs/>
      <w:smallCaps/>
      <w:color w:val="auto"/>
      <w:spacing w:val="5"/>
      <w:u w:val="single"/>
    </w:rPr>
  </w:style>
  <w:style w:type="paragraph" w:customStyle="1" w:styleId="2ColumnHeading">
    <w:name w:val="2Column Heading"/>
    <w:basedOn w:val="BodyText"/>
    <w:qFormat/>
    <w:rsid w:val="005B4266"/>
    <w:pPr>
      <w:spacing w:after="60"/>
      <w:ind w:left="-2268"/>
    </w:pPr>
    <w:rPr>
      <w:b/>
    </w:rPr>
  </w:style>
  <w:style w:type="paragraph" w:customStyle="1" w:styleId="Heading1TOC">
    <w:name w:val="Heading1 TOC"/>
    <w:basedOn w:val="Normal"/>
    <w:qFormat/>
    <w:rsid w:val="005B4266"/>
    <w:pPr>
      <w:spacing w:before="240" w:after="120"/>
    </w:pPr>
    <w:rPr>
      <w:rFonts w:ascii="Times New Roman" w:hAnsi="Times New Roman"/>
      <w:b/>
      <w:sz w:val="32"/>
    </w:rPr>
  </w:style>
  <w:style w:type="paragraph" w:customStyle="1" w:styleId="Heading2TOC">
    <w:name w:val="Heading2 TOC"/>
    <w:basedOn w:val="Normal"/>
    <w:qFormat/>
    <w:rsid w:val="005B4266"/>
    <w:pPr>
      <w:spacing w:before="240" w:after="60"/>
    </w:pPr>
    <w:rPr>
      <w:rFonts w:ascii="Times New Roman" w:hAnsi="Times New Roman"/>
      <w:b/>
      <w:sz w:val="28"/>
    </w:rPr>
  </w:style>
  <w:style w:type="character" w:customStyle="1" w:styleId="Underline">
    <w:name w:val="Underline"/>
    <w:basedOn w:val="DefaultParagraphFont"/>
    <w:qFormat/>
    <w:rsid w:val="005B4266"/>
    <w:rPr>
      <w:u w:val="single"/>
    </w:rPr>
  </w:style>
  <w:style w:type="character" w:customStyle="1" w:styleId="BoldandItalics">
    <w:name w:val="Bold and Italics"/>
    <w:qFormat/>
    <w:rsid w:val="005B4266"/>
    <w:rPr>
      <w:b/>
      <w:i/>
      <w:u w:val="none"/>
    </w:rPr>
  </w:style>
  <w:style w:type="paragraph" w:styleId="BalloonText">
    <w:name w:val="Balloon Text"/>
    <w:basedOn w:val="Normal"/>
    <w:link w:val="BalloonTextChar"/>
    <w:rsid w:val="005B4266"/>
    <w:rPr>
      <w:rFonts w:ascii="Tahoma" w:hAnsi="Tahoma" w:cs="Tahoma"/>
      <w:sz w:val="16"/>
      <w:szCs w:val="16"/>
    </w:rPr>
  </w:style>
  <w:style w:type="character" w:customStyle="1" w:styleId="BalloonTextChar">
    <w:name w:val="Balloon Text Char"/>
    <w:basedOn w:val="DefaultParagraphFont"/>
    <w:link w:val="BalloonText"/>
    <w:rsid w:val="005B4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266"/>
    <w:rPr>
      <w:b/>
      <w:color w:val="660033"/>
      <w:spacing w:val="0"/>
    </w:rPr>
  </w:style>
  <w:style w:type="paragraph" w:customStyle="1" w:styleId="Nameditemlist">
    <w:name w:val="Named item list"/>
    <w:basedOn w:val="BodyText"/>
    <w:qFormat/>
    <w:rsid w:val="005B4266"/>
    <w:pPr>
      <w:tabs>
        <w:tab w:val="left" w:pos="2835"/>
      </w:tabs>
      <w:ind w:left="2835" w:hanging="2835"/>
    </w:pPr>
  </w:style>
  <w:style w:type="paragraph" w:customStyle="1" w:styleId="BodyTextnopadding">
    <w:name w:val="Body Text no padding"/>
    <w:basedOn w:val="BodyText"/>
    <w:qFormat/>
    <w:rsid w:val="005B4266"/>
    <w:pPr>
      <w:spacing w:before="0" w:after="0"/>
    </w:pPr>
  </w:style>
  <w:style w:type="paragraph" w:customStyle="1" w:styleId="BodyTextBold">
    <w:name w:val="Body Text Bold"/>
    <w:basedOn w:val="BodyText"/>
    <w:qFormat/>
    <w:rsid w:val="005B4266"/>
    <w:rPr>
      <w:b/>
    </w:rPr>
  </w:style>
  <w:style w:type="character" w:styleId="Hyperlink">
    <w:name w:val="Hyperlink"/>
    <w:basedOn w:val="DefaultParagraphFont"/>
    <w:uiPriority w:val="99"/>
    <w:unhideWhenUsed/>
    <w:rsid w:val="00FC5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10232</Characters>
  <Application>Microsoft Office Word</Application>
  <DocSecurity>0</DocSecurity>
  <Lines>341</Lines>
  <Paragraphs>178</Paragraphs>
  <ScaleCrop>false</ScaleCrop>
  <Company>Author-it Software Corporation Ltd.</Company>
  <LinksUpToDate>false</LinksUpToDate>
  <CharactersWithSpaces>11620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UETTDRDS42 Investigate quality of power systems supply issues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