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288" w:rsidP="00666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UETTDRDS38 Design power system public lighting systems</w:t>
      </w:r>
      <w:r>
        <w:fldChar w:fldCharType="end"/>
      </w:r>
    </w:p>
    <w:p w:rsidR="00666288" w:rsidP="00666288">
      <w:pPr>
        <w:pStyle w:val="Version"/>
        <w:sectPr w:rsidSect="00C77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D44" w:rsidP="00C77D44">
      <w:pPr>
        <w:pStyle w:val="SuperHeading"/>
      </w:pPr>
      <w:r w:rsidRPr="00C77D44">
        <w:t>UETTDRDS38 Design power system public lighting systems</w:t>
      </w:r>
    </w:p>
    <w:p w:rsidR="00000000" w:rsidRPr="00C77D44" w:rsidP="00C77D44">
      <w:pPr>
        <w:pStyle w:val="Heading1"/>
      </w:pPr>
      <w:bookmarkStart w:id="1" w:name="O_1002452"/>
      <w:bookmarkEnd w:id="1"/>
      <w:r w:rsidRPr="00C77D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2" w:name="O_1002453"/>
      <w:bookmarkEnd w:id="2"/>
      <w:r w:rsidRPr="00C77D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 xml:space="preserve">This unit covers the technical design of public </w:t>
            </w:r>
            <w:r w:rsidRPr="00C77D44">
              <w:t>lighting systems. This includes pedestrian and traffic route lighting to relevant Australian Standards utilising appropriate software to generate design conformance.</w:t>
            </w:r>
          </w:p>
          <w:p w:rsidR="00000000" w:rsidRPr="00C77D44" w:rsidP="00C77D44">
            <w:pPr>
              <w:pStyle w:val="BodyText"/>
            </w:pPr>
            <w:r w:rsidRPr="00C77D44">
              <w:t>The application of the skills and knowledge described in this unit may require a licence/r</w:t>
            </w:r>
            <w:r w:rsidRPr="00C77D44">
              <w:t xml:space="preserve">egistration to practice in the workplace subject to regulations for undertaking of electrical work.  </w:t>
            </w:r>
          </w:p>
          <w:p w:rsidR="00000000" w:rsidRPr="00C77D44" w:rsidP="00C77D44">
            <w:pPr>
              <w:pStyle w:val="BodyText"/>
            </w:pPr>
            <w:r w:rsidRPr="00C77D44">
              <w:t>Other conditions may apply under state and territory legislative and regulatory licencing requirements which must be confirmed prior to commencing this un</w:t>
            </w:r>
            <w:r w:rsidRPr="00C77D44">
              <w:t>it.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3" w:name="O_1002454"/>
      <w:bookmarkEnd w:id="3"/>
      <w:r w:rsidRPr="00C77D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 xml:space="preserve">All competencies in the Common Unit Group must have been completed, plus all competencies in one (1) of the identified Pathway Unit Group(s). </w:t>
            </w:r>
          </w:p>
          <w:p w:rsidR="00000000" w:rsidRPr="00C77D44" w:rsidP="00C77D44">
            <w:pPr>
              <w:pStyle w:val="BodyText"/>
            </w:pPr>
            <w:r w:rsidRPr="00C77D44">
              <w:t>Common Unit Group</w:t>
            </w:r>
          </w:p>
          <w:p w:rsidR="00000000" w:rsidRPr="00C77D44" w:rsidP="00C77D44">
            <w:pPr>
              <w:pStyle w:val="BodyText"/>
            </w:pPr>
            <w:r w:rsidRPr="00C77D44">
              <w:t>UEENEEE101A Apply Occupational Health and Safety re</w:t>
            </w:r>
            <w:r w:rsidRPr="00C77D44">
              <w:t>gulations, codes and practices in the workplace</w:t>
            </w:r>
          </w:p>
          <w:p w:rsidR="00000000" w:rsidRPr="00C77D44" w:rsidP="00C77D44">
            <w:pPr>
              <w:pStyle w:val="BodyText"/>
            </w:pPr>
            <w:r w:rsidRPr="00C77D44">
              <w:t>UEENEEE102A Fabricate, assemble and dismantle utilities industry components</w:t>
            </w:r>
          </w:p>
          <w:p w:rsidR="00000000" w:rsidRPr="00C77D44" w:rsidP="00C77D44">
            <w:pPr>
              <w:pStyle w:val="BodyText"/>
            </w:pPr>
            <w:r w:rsidRPr="00C77D44">
              <w:t>UEENEEE104A Solve problems in d.c. circuits</w:t>
            </w:r>
          </w:p>
          <w:p w:rsidR="00000000" w:rsidRPr="00C77D44" w:rsidP="00C77D44">
            <w:pPr>
              <w:pStyle w:val="BodyText"/>
            </w:pPr>
            <w:r w:rsidRPr="00C77D44">
              <w:t>UEENEEE107A Use drawings, diagrams, schedules, standards, codes and specifications</w:t>
            </w:r>
          </w:p>
          <w:p w:rsidR="00000000" w:rsidRPr="00C77D44" w:rsidP="00C77D44">
            <w:pPr>
              <w:pStyle w:val="BodyText"/>
            </w:pPr>
            <w:r w:rsidRPr="00C77D44">
              <w:t>UEENE</w:t>
            </w:r>
            <w:r w:rsidRPr="00C77D44">
              <w:t>EE125A Provide engineering solutions for problems in complex multiple path circuits</w:t>
            </w:r>
          </w:p>
          <w:p w:rsidR="00000000" w:rsidRPr="00C77D44" w:rsidP="00C77D44">
            <w:pPr>
              <w:pStyle w:val="BodyText"/>
            </w:pPr>
            <w:r w:rsidRPr="00C77D44">
              <w:t>UEENEEE126A Provide solutions to basic engineering computational problems</w:t>
            </w:r>
          </w:p>
          <w:p w:rsidR="00000000" w:rsidRPr="00C77D44" w:rsidP="00C77D44">
            <w:pPr>
              <w:pStyle w:val="BodyText"/>
            </w:pPr>
            <w:r w:rsidRPr="00C77D44">
              <w:t>UEENEEG101A Solve problems in electromagnetic devices and related circuits</w:t>
            </w:r>
          </w:p>
          <w:p w:rsidR="00000000" w:rsidRPr="00C77D44" w:rsidP="00C77D44">
            <w:pPr>
              <w:pStyle w:val="BodyText"/>
            </w:pPr>
            <w:r w:rsidRPr="00C77D44">
              <w:t>UEENEEG102A Solve problems in low voltage a.c. circuits</w:t>
            </w:r>
          </w:p>
          <w:p w:rsidR="00000000" w:rsidRPr="00C77D44" w:rsidP="00C77D44">
            <w:pPr>
              <w:pStyle w:val="BodyText"/>
            </w:pPr>
            <w:r w:rsidRPr="00C77D44">
              <w:t>UEENEEG149A Provide engineering solutions to problems in complex polyphase power circuits</w:t>
            </w:r>
          </w:p>
          <w:p w:rsidR="00000000" w:rsidRPr="00C77D44" w:rsidP="00C77D44">
            <w:pPr>
              <w:pStyle w:val="BodyText"/>
            </w:pPr>
            <w:r w:rsidRPr="00C77D44">
              <w:t>UETTDREL11 Apply sustainable energy and environmental procedures</w:t>
            </w:r>
          </w:p>
          <w:p w:rsidR="00000000" w:rsidRPr="00C77D44" w:rsidP="00C77D44">
            <w:pPr>
              <w:pStyle w:val="BodyText"/>
            </w:pPr>
            <w:r w:rsidRPr="00C77D44">
              <w:t>UETTDREL16 Working safely near live electrica</w:t>
            </w:r>
            <w:r w:rsidRPr="00C77D44">
              <w:t>l apparatus</w:t>
            </w:r>
          </w:p>
          <w:p w:rsidR="00000000" w:rsidRPr="00C77D44" w:rsidP="00C77D44">
            <w:pPr>
              <w:pStyle w:val="BodyText"/>
            </w:pPr>
            <w:r w:rsidRPr="00C77D44">
              <w:t>UETTDRIS62 Implement and monitor the power system organisational WHS/OHS policies, procedures and programs</w:t>
            </w:r>
          </w:p>
          <w:p w:rsidR="00000000" w:rsidRPr="00C77D44" w:rsidP="00C77D44">
            <w:pPr>
              <w:pStyle w:val="BodyText"/>
            </w:pPr>
            <w:r w:rsidRPr="00C77D44">
              <w:t xml:space="preserve">UETTDRIS63 Implement &amp; monitor power system environmental &amp; sustainable energy </w:t>
            </w:r>
            <w:r w:rsidRPr="00C77D44">
              <w:t>management policies &amp; procedures</w:t>
            </w:r>
          </w:p>
          <w:p w:rsidR="00000000" w:rsidRPr="00C77D44" w:rsidP="00C77D44">
            <w:pPr>
              <w:pStyle w:val="BodyText"/>
            </w:pPr>
            <w:r w:rsidRPr="00C77D44">
              <w:t>Pathway Unit Group 1</w:t>
            </w:r>
          </w:p>
          <w:p w:rsidR="00000000" w:rsidRPr="00C77D44" w:rsidP="00C77D44">
            <w:pPr>
              <w:pStyle w:val="BodyText"/>
            </w:pPr>
            <w:r w:rsidRPr="00C77D44">
              <w:t>UETT</w:t>
            </w:r>
            <w:r w:rsidRPr="00C77D44">
              <w:t>DRDS39 Prepare and manage detailed construction plans for electrical power system infrastructure</w:t>
            </w:r>
          </w:p>
          <w:p w:rsidR="00000000" w:rsidRPr="00C77D44" w:rsidP="00C77D44">
            <w:pPr>
              <w:pStyle w:val="BodyText"/>
            </w:pPr>
            <w:r w:rsidRPr="00C77D44">
              <w:t>UETTDRDS45 Organise and implement ESI line and easement surveys</w:t>
            </w:r>
          </w:p>
          <w:p w:rsidR="00000000" w:rsidRPr="00C77D44" w:rsidP="00C77D44">
            <w:pPr>
              <w:pStyle w:val="BodyText"/>
            </w:pPr>
            <w:r w:rsidRPr="00C77D44">
              <w:t>Pathway Unit Group 2</w:t>
            </w:r>
          </w:p>
          <w:p w:rsidR="00000000" w:rsidRPr="00C77D44" w:rsidP="00C77D44">
            <w:pPr>
              <w:pStyle w:val="BodyText"/>
            </w:pPr>
            <w:r w:rsidRPr="00C77D44">
              <w:t>UETTDRDS43 Develop high voltage and low voltage distribution protection sy</w:t>
            </w:r>
            <w:r w:rsidRPr="00C77D44">
              <w:t>stems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4" w:name="O_1002455"/>
      <w:bookmarkEnd w:id="4"/>
      <w:r w:rsidRPr="00C77D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Design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5" w:name="O_1002456"/>
      <w:bookmarkEnd w:id="5"/>
      <w:r w:rsidRPr="00C77D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Not applicable.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6" w:name="O_1002457"/>
      <w:bookmarkEnd w:id="6"/>
      <w:r w:rsidRPr="00C77D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PERFORMANCE CRITERIA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Perform</w:t>
            </w:r>
            <w:r w:rsidRPr="00C77D44">
              <w:t>ance criteria describe the performance needed to demonstrate achievement of the element.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>Plan for and coordinate the safe design of public lighting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 xml:space="preserve">Work health and safety (WHS)/occupational health and safety (OHS) practices/procedures and </w:t>
            </w:r>
            <w:r w:rsidRPr="00C77D44">
              <w:t>environmental and sustainable energy procedures which may influence the design of public lighting systems are reviewed and determined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Purpose of the design is established and expected outcomes of the work are confirmed with appropriate personnel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Organisational established procedures on policies and specifications for the design are obtained or established with appropriate personnel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Equipment/tools and personal protective equipment (PPE) are selected and coordinated based on specified re</w:t>
            </w:r>
            <w:r w:rsidRPr="00C77D44">
              <w:t>quirements and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 xml:space="preserve">Work is prioritised and sequenced for the most efficient and effective outcome following consultation with others for completion within acceptable timeframes, to a </w:t>
            </w:r>
            <w:r w:rsidRPr="00C77D44">
              <w:t>quality standard and in accordance with establi</w:t>
            </w:r>
            <w:r w:rsidRPr="00C77D44">
              <w:t>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Risk control measures are identified, prioritised and evaluated against the work schedule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Relevant work permits are secured to coordinate the performance of work according to requirements and/or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Resources, including personal, equipment, tools and PPE required for the job are identified, scheduled and coordinated and confirmed safe and in technical working order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Liaison and communication issues with other/authorised personnel, authorities, c</w:t>
            </w:r>
            <w:r w:rsidRPr="00C77D44">
              <w:t>lients and land owners are resolved and activities coordinated to carry out work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Site is prepared according to the work schedule and to minimise risk and damage to property, commerce and individuals in accordance with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Personnel participating in the work, including plant operators and contractors, are fully briefed and respective responsibilities coordinated and authorised where applicable in accordance with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 xml:space="preserve">Carry out and coordinate the design </w:t>
            </w:r>
            <w:r w:rsidRPr="00C77D44">
              <w:rPr>
                <w:rStyle w:val="SpecialBold"/>
              </w:rPr>
              <w:t>of public lighting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Circuit/systems modelling is used to evaluate alternative proposals in accordance with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WHS/OHS and sustainable energy principles</w:t>
            </w:r>
            <w:r w:rsidRPr="00C77D44">
              <w:t>, functionality and practices to reduce the incidence of accidents and minimise waste are incorporated into the project in accordance with requirements and/or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System design decisions are made on the basis of safety and effecti</w:t>
            </w:r>
            <w:r w:rsidRPr="00C77D44">
              <w:t>ve outcomes according to requirements and/or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Mathematical models of the distribution system are used to analyse the effectiveness of the finished project in accordance with requirements and established procedures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Technical advice is given to potential hazards, safety risks and control measures so that monitoring and preventative action can be undertaken and/or appropriate authorities consulted, where necessary, in accordance with requirements and established proced</w:t>
            </w:r>
            <w:r w:rsidRPr="00C77D44">
              <w:t>ures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Solutions to non-routin</w:t>
            </w:r>
            <w:r w:rsidRPr="00C77D44">
              <w:t>e problems are identified and actioned using acquired essential knowledge and associated skills according to requirements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Quality of work is monitored against personal performance agreement and/or established organisational and professional standards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rPr>
                <w:rStyle w:val="SpecialBold"/>
              </w:rPr>
              <w:t>Complete and coordinate the design of public lighting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Final inspections of the design are undertaken to ensure t</w:t>
            </w:r>
            <w:r w:rsidRPr="00C77D44">
              <w:t>hey comply with all requirements and include all specifications and documentations needed to complete the design brief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Appropriate personnel are notified of completion and reports and/or completion documents are finalised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t>Reports and/or compl</w:t>
            </w:r>
            <w:r w:rsidRPr="00C77D44">
              <w:t>etion documents are submitted to relevant personnel/organisations for approval and, where applicable, statutory or regulatory approval</w:t>
            </w:r>
          </w:p>
        </w:tc>
      </w:tr>
      <w:tr w:rsidTr="00C77D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44">
            <w:pPr>
              <w:pStyle w:val="BodyText"/>
              <w:rPr>
                <w:lang w:val="en-NZ"/>
              </w:rPr>
            </w:pPr>
            <w:r w:rsidRPr="00C77D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Approved copies of design documents are issued and records are updated in accordance with established procedures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7" w:name="O_1002458"/>
      <w:bookmarkEnd w:id="7"/>
      <w:r w:rsidRPr="00C77D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Foundation skills essential to performance are explicit in the performance criteria of this unit of competency.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8" w:name="O_1002459"/>
      <w:bookmarkEnd w:id="8"/>
      <w:r w:rsidRPr="00C77D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Range is restricted to essential operating conditions and any oth</w:t>
            </w:r>
            <w:r w:rsidRPr="00C77D44">
              <w:t>er variables essential to the work environment.</w:t>
            </w:r>
          </w:p>
          <w:p w:rsidR="00000000" w:rsidRPr="00C77D44" w:rsidP="00C77D44">
            <w:pPr>
              <w:pStyle w:val="BodyText"/>
            </w:pPr>
            <w:r w:rsidRPr="00C77D44">
              <w:t>Non-essential conditions may be found in the Companion Volume Implementation Guide.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9" w:name="O_1002460"/>
      <w:bookmarkEnd w:id="9"/>
      <w:r w:rsidRPr="00C77D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44" w:rsidP="00C77D44">
            <w:pPr>
              <w:pStyle w:val="BodyText"/>
            </w:pPr>
            <w:r w:rsidRPr="00C77D44">
              <w:t>This unit replaces and is equivalent to UETTDRDS38A Design power system public</w:t>
            </w:r>
            <w:r w:rsidRPr="00C77D44">
              <w:t xml:space="preserve"> lighting systems.</w:t>
            </w:r>
          </w:p>
        </w:tc>
      </w:tr>
    </w:tbl>
    <w:p w:rsidR="00000000" w:rsidRPr="00C77D44" w:rsidP="00C77D44">
      <w:pPr>
        <w:pStyle w:val="NoPaddingFontSize1"/>
      </w:pPr>
    </w:p>
    <w:p w:rsidR="00000000" w:rsidRPr="00C77D44" w:rsidP="00C77D44">
      <w:pPr>
        <w:pStyle w:val="AllowPageBreak"/>
      </w:pPr>
    </w:p>
    <w:p w:rsidR="00000000" w:rsidRPr="00C77D44" w:rsidP="00C77D44">
      <w:pPr>
        <w:pStyle w:val="Heading1"/>
      </w:pPr>
      <w:bookmarkStart w:id="10" w:name="O_1002467"/>
      <w:bookmarkEnd w:id="10"/>
      <w:r w:rsidRPr="00C77D44">
        <w:t>Links</w:t>
      </w:r>
    </w:p>
    <w:p w:rsidR="00000000" w:rsidRPr="00C77D44" w:rsidP="00666288">
      <w:pPr>
        <w:pStyle w:val="BodyText"/>
      </w:pPr>
      <w:r w:rsidRPr="00C77D4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22A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7D44" w:rsidP="00C77D44"/>
    <w:sectPr w:rsidSect="00C77D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4" w:rsidRPr="00666288" w:rsidP="00666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88" w:rsidP="00C77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288" w:rsidP="00C77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6288" w:rsidP="00C77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D44" w:rsidRPr="00666288" w:rsidP="00666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288" w:rsidRPr="002D2AF8" w:rsidP="00C77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UETTDRDS38 Design power system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66288" w:rsidP="00C77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D44"/>
  </w:style>
  <w:style w:type="character" w:customStyle="1" w:styleId="Heading1Char">
    <w:name w:val="Heading 1 Char"/>
    <w:basedOn w:val="DefaultParagraphFont"/>
    <w:link w:val="Heading1"/>
    <w:rsid w:val="00C77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D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7D44"/>
    <w:rPr>
      <w:b/>
      <w:spacing w:val="0"/>
    </w:rPr>
  </w:style>
  <w:style w:type="paragraph" w:customStyle="1" w:styleId="SuperHeading">
    <w:name w:val="SuperHeading"/>
    <w:basedOn w:val="Normal"/>
    <w:rsid w:val="00C77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7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D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D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D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D44"/>
    <w:rPr>
      <w:i/>
    </w:rPr>
  </w:style>
  <w:style w:type="paragraph" w:styleId="Caption">
    <w:name w:val="caption"/>
    <w:basedOn w:val="BodyText"/>
    <w:next w:val="Normal"/>
    <w:qFormat/>
    <w:rsid w:val="00C77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D44"/>
  </w:style>
  <w:style w:type="paragraph" w:styleId="TableofFigures">
    <w:name w:val="table of figures"/>
    <w:basedOn w:val="Normal"/>
    <w:next w:val="Normal"/>
    <w:semiHidden/>
    <w:rsid w:val="00C77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D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D44"/>
    <w:rPr>
      <w:rFonts w:ascii="Wingdings" w:hAnsi="Wingdings"/>
    </w:rPr>
  </w:style>
  <w:style w:type="paragraph" w:customStyle="1" w:styleId="TableHeading">
    <w:name w:val="Table Heading"/>
    <w:basedOn w:val="HeadingBase"/>
    <w:rsid w:val="00C77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D44"/>
    <w:rPr>
      <w:color w:val="0033CC"/>
      <w:u w:val="none"/>
    </w:rPr>
  </w:style>
  <w:style w:type="paragraph" w:customStyle="1" w:styleId="BodyTextRight">
    <w:name w:val="Body Text Right"/>
    <w:basedOn w:val="BodyText"/>
    <w:rsid w:val="00C77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D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D44"/>
    <w:rPr>
      <w:sz w:val="32"/>
    </w:rPr>
  </w:style>
  <w:style w:type="paragraph" w:customStyle="1" w:styleId="HeadingProcedure">
    <w:name w:val="Heading Procedure"/>
    <w:basedOn w:val="HeadingBase"/>
    <w:next w:val="Normal"/>
    <w:rsid w:val="00C77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D44"/>
    <w:pPr>
      <w:spacing w:before="60" w:after="60"/>
    </w:pPr>
  </w:style>
  <w:style w:type="paragraph" w:styleId="ListContinue">
    <w:name w:val="List Continue"/>
    <w:basedOn w:val="List"/>
    <w:rsid w:val="00C77D44"/>
    <w:pPr>
      <w:ind w:firstLine="0"/>
    </w:pPr>
  </w:style>
  <w:style w:type="paragraph" w:customStyle="1" w:styleId="ListNote">
    <w:name w:val="List Note"/>
    <w:basedOn w:val="List"/>
    <w:rsid w:val="00C77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D44"/>
    <w:rPr>
      <w:rFonts w:ascii="Courier New" w:hAnsi="Courier New"/>
    </w:rPr>
  </w:style>
  <w:style w:type="paragraph" w:customStyle="1" w:styleId="NoteBullet">
    <w:name w:val="Note Bullet"/>
    <w:basedOn w:val="Note"/>
    <w:rsid w:val="00C77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D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D44"/>
    <w:rPr>
      <w:b/>
      <w:smallCaps/>
    </w:rPr>
  </w:style>
  <w:style w:type="paragraph" w:customStyle="1" w:styleId="TableListNumber">
    <w:name w:val="Table List Number"/>
    <w:basedOn w:val="ListNumber"/>
    <w:rsid w:val="00C77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D44"/>
    <w:pPr>
      <w:numPr>
        <w:numId w:val="7"/>
      </w:numPr>
    </w:pPr>
  </w:style>
  <w:style w:type="paragraph" w:customStyle="1" w:styleId="ListAlpha2">
    <w:name w:val="List Alpha 2"/>
    <w:basedOn w:val="List2"/>
    <w:rsid w:val="00C77D44"/>
    <w:pPr>
      <w:numPr>
        <w:numId w:val="6"/>
      </w:numPr>
    </w:pPr>
  </w:style>
  <w:style w:type="paragraph" w:styleId="List2">
    <w:name w:val="List 2"/>
    <w:basedOn w:val="BodyText"/>
    <w:rsid w:val="00C77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D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D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D44"/>
    <w:pPr>
      <w:numPr>
        <w:numId w:val="2"/>
      </w:numPr>
    </w:pPr>
  </w:style>
  <w:style w:type="paragraph" w:styleId="ListContinue2">
    <w:name w:val="List Continue 2"/>
    <w:basedOn w:val="List2"/>
    <w:rsid w:val="00C77D44"/>
    <w:pPr>
      <w:ind w:firstLine="0"/>
    </w:pPr>
  </w:style>
  <w:style w:type="paragraph" w:styleId="ListContinue3">
    <w:name w:val="List Continue 3"/>
    <w:basedOn w:val="List3"/>
    <w:rsid w:val="00C77D44"/>
    <w:pPr>
      <w:ind w:left="1021" w:firstLine="0"/>
    </w:pPr>
  </w:style>
  <w:style w:type="paragraph" w:styleId="ListContinue4">
    <w:name w:val="List Continue 4"/>
    <w:basedOn w:val="List4"/>
    <w:rsid w:val="00C77D44"/>
    <w:pPr>
      <w:ind w:firstLine="0"/>
    </w:pPr>
  </w:style>
  <w:style w:type="paragraph" w:styleId="ListContinue5">
    <w:name w:val="List Continue 5"/>
    <w:basedOn w:val="List5"/>
    <w:rsid w:val="00C77D44"/>
    <w:pPr>
      <w:ind w:firstLine="0"/>
    </w:pPr>
  </w:style>
  <w:style w:type="paragraph" w:styleId="ListNumber3">
    <w:name w:val="List Number 3"/>
    <w:basedOn w:val="List3"/>
    <w:rsid w:val="00C77D44"/>
    <w:pPr>
      <w:numPr>
        <w:numId w:val="3"/>
      </w:numPr>
    </w:pPr>
  </w:style>
  <w:style w:type="paragraph" w:styleId="ListNumber4">
    <w:name w:val="List Number 4"/>
    <w:basedOn w:val="List4"/>
    <w:rsid w:val="00C77D44"/>
    <w:pPr>
      <w:numPr>
        <w:numId w:val="4"/>
      </w:numPr>
    </w:pPr>
  </w:style>
  <w:style w:type="paragraph" w:styleId="ListNumber5">
    <w:name w:val="List Number 5"/>
    <w:basedOn w:val="List5"/>
    <w:rsid w:val="00C77D44"/>
    <w:pPr>
      <w:numPr>
        <w:numId w:val="5"/>
      </w:numPr>
    </w:pPr>
  </w:style>
  <w:style w:type="paragraph" w:styleId="BlockText">
    <w:name w:val="Block Text"/>
    <w:basedOn w:val="Normal"/>
    <w:rsid w:val="00C77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D44"/>
    <w:rPr>
      <w:sz w:val="16"/>
      <w:vertAlign w:val="superscript"/>
    </w:rPr>
  </w:style>
  <w:style w:type="character" w:customStyle="1" w:styleId="Symbols">
    <w:name w:val="Symbols"/>
    <w:basedOn w:val="DefaultParagraphFont"/>
    <w:rsid w:val="00C77D44"/>
    <w:rPr>
      <w:rFonts w:ascii="Symbol" w:hAnsi="Symbol"/>
    </w:rPr>
  </w:style>
  <w:style w:type="character" w:customStyle="1" w:styleId="MenuOptions">
    <w:name w:val="Menu Options"/>
    <w:basedOn w:val="DefaultParagraphFont"/>
    <w:rsid w:val="00C77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D44"/>
    <w:rPr>
      <w:b/>
    </w:rPr>
  </w:style>
  <w:style w:type="character" w:customStyle="1" w:styleId="Underlined">
    <w:name w:val="Underlined"/>
    <w:basedOn w:val="DefaultParagraphFont"/>
    <w:rsid w:val="00C77D44"/>
    <w:rPr>
      <w:u w:val="single"/>
    </w:rPr>
  </w:style>
  <w:style w:type="paragraph" w:customStyle="1" w:styleId="TableBodyTextRight">
    <w:name w:val="Table Body Text Right"/>
    <w:basedOn w:val="TableBodyText"/>
    <w:rsid w:val="00C77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D44"/>
    <w:rPr>
      <w:sz w:val="18"/>
    </w:rPr>
  </w:style>
  <w:style w:type="paragraph" w:customStyle="1" w:styleId="BodySmallRight">
    <w:name w:val="Body Small Right"/>
    <w:basedOn w:val="BodyTextRight"/>
    <w:rsid w:val="00C77D44"/>
    <w:rPr>
      <w:sz w:val="18"/>
      <w:szCs w:val="18"/>
    </w:rPr>
  </w:style>
  <w:style w:type="paragraph" w:customStyle="1" w:styleId="MarginEdition">
    <w:name w:val="Margin Edition"/>
    <w:basedOn w:val="MarginNote"/>
    <w:rsid w:val="00C77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D44"/>
    <w:rPr>
      <w:sz w:val="2"/>
      <w:szCs w:val="2"/>
    </w:rPr>
  </w:style>
  <w:style w:type="character" w:customStyle="1" w:styleId="Small">
    <w:name w:val="Small"/>
    <w:basedOn w:val="DefaultParagraphFont"/>
    <w:rsid w:val="00C77D44"/>
    <w:rPr>
      <w:sz w:val="16"/>
    </w:rPr>
  </w:style>
  <w:style w:type="paragraph" w:customStyle="1" w:styleId="WideTable">
    <w:name w:val="Wide Table"/>
    <w:basedOn w:val="Normal"/>
    <w:rsid w:val="00C77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D44"/>
  </w:style>
  <w:style w:type="paragraph" w:styleId="Quote">
    <w:name w:val="Quote"/>
    <w:basedOn w:val="Heading1"/>
    <w:link w:val="QuoteChar"/>
    <w:qFormat/>
    <w:rsid w:val="00C77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D44"/>
    <w:pPr>
      <w:pageBreakBefore/>
    </w:pPr>
  </w:style>
  <w:style w:type="paragraph" w:customStyle="1" w:styleId="Border">
    <w:name w:val="Border"/>
    <w:basedOn w:val="Normal"/>
    <w:qFormat/>
    <w:rsid w:val="00C77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D44"/>
    <w:rPr>
      <w:u w:val="single"/>
    </w:rPr>
  </w:style>
  <w:style w:type="character" w:customStyle="1" w:styleId="BoldandItalics">
    <w:name w:val="Bold and Italics"/>
    <w:qFormat/>
    <w:rsid w:val="00C77D44"/>
    <w:rPr>
      <w:b/>
      <w:i/>
      <w:u w:val="none"/>
    </w:rPr>
  </w:style>
  <w:style w:type="paragraph" w:styleId="BalloonText">
    <w:name w:val="Balloon Text"/>
    <w:basedOn w:val="Normal"/>
    <w:link w:val="BalloonTextChar"/>
    <w:rsid w:val="00C77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D44"/>
    <w:pPr>
      <w:spacing w:before="0" w:after="0"/>
    </w:pPr>
  </w:style>
  <w:style w:type="paragraph" w:customStyle="1" w:styleId="BodyTextBold">
    <w:name w:val="Body Text Bold"/>
    <w:basedOn w:val="BodyText"/>
    <w:qFormat/>
    <w:rsid w:val="00C77D44"/>
    <w:rPr>
      <w:b/>
    </w:rPr>
  </w:style>
  <w:style w:type="character" w:styleId="Hyperlink">
    <w:name w:val="Hyperlink"/>
    <w:basedOn w:val="DefaultParagraphFont"/>
    <w:uiPriority w:val="99"/>
    <w:unhideWhenUsed/>
    <w:rsid w:val="00666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6500</Characters>
  <Application>Microsoft Office Word</Application>
  <DocSecurity>0</DocSecurity>
  <Lines>250</Lines>
  <Paragraphs>119</Paragraphs>
  <ScaleCrop>false</ScaleCrop>
  <Company>Author-it Software Corporation Ltd.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UETTDRDS38 Design power system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